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24"/>
        <w:bidiVisual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9533"/>
      </w:tblGrid>
      <w:tr w:rsidR="00754E68" w:rsidTr="00F842D6">
        <w:trPr>
          <w:trHeight w:val="13110"/>
        </w:trPr>
        <w:tc>
          <w:tcPr>
            <w:tcW w:w="10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4E68" w:rsidRDefault="00754E68" w:rsidP="00F842D6">
            <w:pPr>
              <w:jc w:val="both"/>
              <w:rPr>
                <w:rFonts w:hint="cs"/>
                <w:rtl/>
              </w:rPr>
            </w:pPr>
            <w:bookmarkStart w:id="0" w:name="_GoBack"/>
            <w:bookmarkEnd w:id="0"/>
          </w:p>
          <w:p w:rsidR="00754E68" w:rsidRDefault="00754E68" w:rsidP="00F842D6">
            <w:pPr>
              <w:jc w:val="both"/>
              <w:rPr>
                <w:rtl/>
              </w:rPr>
            </w:pPr>
          </w:p>
          <w:p w:rsidR="00754E68" w:rsidRDefault="00754E68" w:rsidP="00F842D6">
            <w:pPr>
              <w:jc w:val="both"/>
              <w:rPr>
                <w:rtl/>
              </w:rPr>
            </w:pPr>
          </w:p>
          <w:p w:rsidR="00754E68" w:rsidRDefault="00754E68" w:rsidP="00F842D6">
            <w:pPr>
              <w:jc w:val="both"/>
              <w:rPr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Pr="000B38E9" w:rsidRDefault="007D291A" w:rsidP="00F842D6">
            <w:pPr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הארכת תוקף החוק</w:t>
            </w:r>
          </w:p>
          <w:p w:rsidR="00754E68" w:rsidRPr="000B38E9" w:rsidRDefault="00754E68" w:rsidP="00F842D6">
            <w:pPr>
              <w:jc w:val="both"/>
              <w:rPr>
                <w:b/>
                <w:bCs/>
                <w:color w:val="FF0000"/>
                <w:szCs w:val="24"/>
                <w:rtl/>
              </w:rPr>
            </w:pPr>
          </w:p>
          <w:p w:rsidR="007D291A" w:rsidRDefault="007D291A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D291A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תחילה</w:t>
            </w:r>
          </w:p>
          <w:p w:rsidR="00754E68" w:rsidRPr="000B38E9" w:rsidRDefault="00754E68" w:rsidP="00F842D6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Pr="000B38E9" w:rsidRDefault="00754E68" w:rsidP="00F842D6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Pr="000B38E9" w:rsidRDefault="00754E68" w:rsidP="00F842D6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Pr="000B38E9" w:rsidRDefault="00754E68" w:rsidP="00F842D6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b/>
                <w:bCs/>
                <w:sz w:val="22"/>
                <w:szCs w:val="24"/>
                <w:rtl/>
              </w:rPr>
            </w:pPr>
          </w:p>
          <w:p w:rsidR="00754E68" w:rsidRPr="000B38E9" w:rsidRDefault="00754E68" w:rsidP="00991132">
            <w:pPr>
              <w:jc w:val="both"/>
              <w:rPr>
                <w:b/>
                <w:bCs/>
                <w:szCs w:val="24"/>
                <w:rtl/>
              </w:rPr>
            </w:pPr>
          </w:p>
          <w:p w:rsidR="00754E68" w:rsidRDefault="00754E68" w:rsidP="00F842D6">
            <w:pPr>
              <w:jc w:val="both"/>
              <w:rPr>
                <w:rtl/>
              </w:rPr>
            </w:pPr>
          </w:p>
        </w:tc>
        <w:tc>
          <w:tcPr>
            <w:tcW w:w="95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:rsidR="00754E68" w:rsidRPr="0012774F" w:rsidRDefault="00754E68" w:rsidP="00F842D6">
            <w:pPr>
              <w:tabs>
                <w:tab w:val="left" w:pos="4241"/>
                <w:tab w:val="center" w:pos="4415"/>
              </w:tabs>
              <w:jc w:val="both"/>
              <w:rPr>
                <w:sz w:val="26"/>
                <w:rtl/>
              </w:rPr>
            </w:pPr>
            <w:r w:rsidRPr="0012774F">
              <w:rPr>
                <w:rFonts w:hint="cs"/>
                <w:sz w:val="16"/>
                <w:szCs w:val="16"/>
                <w:rtl/>
              </w:rPr>
              <w:tab/>
              <w:t xml:space="preserve">                                      </w:t>
            </w:r>
            <w:r w:rsidRPr="0012774F">
              <w:rPr>
                <w:rFonts w:hint="cs"/>
                <w:sz w:val="16"/>
                <w:szCs w:val="16"/>
                <w:rtl/>
              </w:rPr>
              <w:tab/>
            </w:r>
          </w:p>
          <w:p w:rsidR="00754E68" w:rsidRDefault="00754E68" w:rsidP="00F842D6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:rsidR="00754E68" w:rsidRPr="00ED64A6" w:rsidRDefault="00ED64A6" w:rsidP="00A162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טיוטת </w:t>
            </w:r>
            <w:r w:rsidR="004B23F8" w:rsidRPr="00ED64A6">
              <w:rPr>
                <w:rFonts w:hint="cs"/>
                <w:b/>
                <w:bCs/>
                <w:sz w:val="28"/>
                <w:szCs w:val="28"/>
                <w:rtl/>
              </w:rPr>
              <w:t>צו</w:t>
            </w:r>
            <w:r w:rsidR="00754E68" w:rsidRPr="00ED64A6">
              <w:rPr>
                <w:rFonts w:hint="cs"/>
                <w:b/>
                <w:bCs/>
                <w:sz w:val="28"/>
                <w:szCs w:val="28"/>
                <w:rtl/>
              </w:rPr>
              <w:t xml:space="preserve"> לקידום הבנייה במתחמים מועדפים לדיור (הוראת שעה)</w:t>
            </w:r>
            <w:r w:rsidR="001678E7" w:rsidRPr="00ED64A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23F8" w:rsidRPr="00ED64A6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7D291A" w:rsidRPr="00ED64A6">
              <w:rPr>
                <w:rFonts w:hint="cs"/>
                <w:b/>
                <w:bCs/>
                <w:sz w:val="28"/>
                <w:szCs w:val="28"/>
                <w:rtl/>
              </w:rPr>
              <w:t>הארכת תוקף החוק</w:t>
            </w:r>
            <w:r w:rsidR="004B23F8" w:rsidRPr="00ED64A6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9E0C8D" w:rsidRPr="00ED64A6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 w:rsidR="00754E68" w:rsidRPr="00ED64A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2EC1" w:rsidRPr="00ED64A6">
              <w:rPr>
                <w:rFonts w:hint="cs"/>
                <w:b/>
                <w:bCs/>
                <w:sz w:val="28"/>
                <w:szCs w:val="28"/>
                <w:rtl/>
              </w:rPr>
              <w:t>ה</w:t>
            </w:r>
            <w:r w:rsidR="00754E68" w:rsidRPr="00ED64A6">
              <w:rPr>
                <w:rFonts w:hint="cs"/>
                <w:b/>
                <w:bCs/>
                <w:sz w:val="28"/>
                <w:szCs w:val="28"/>
                <w:rtl/>
              </w:rPr>
              <w:t>תשע"</w:t>
            </w:r>
            <w:r w:rsidR="007D291A" w:rsidRPr="00ED64A6">
              <w:rPr>
                <w:rFonts w:hint="cs"/>
                <w:b/>
                <w:bCs/>
                <w:sz w:val="28"/>
                <w:szCs w:val="28"/>
                <w:rtl/>
              </w:rPr>
              <w:t>ח</w:t>
            </w:r>
            <w:r w:rsidR="00A162A7" w:rsidRPr="00ED64A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B23F8" w:rsidRPr="00ED64A6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 w:rsidR="007D291A" w:rsidRPr="00ED64A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754E68" w:rsidRPr="0012774F" w:rsidRDefault="00754E68" w:rsidP="00F842D6">
            <w:pPr>
              <w:jc w:val="both"/>
              <w:rPr>
                <w:sz w:val="32"/>
                <w:szCs w:val="32"/>
                <w:u w:val="single"/>
                <w:rtl/>
              </w:rPr>
            </w:pPr>
          </w:p>
          <w:p w:rsidR="00754E68" w:rsidRPr="00372DB6" w:rsidRDefault="00754E68" w:rsidP="001678E7">
            <w:pPr>
              <w:jc w:val="both"/>
              <w:rPr>
                <w:sz w:val="26"/>
                <w:rtl/>
              </w:rPr>
            </w:pPr>
            <w:r w:rsidRPr="00372DB6">
              <w:rPr>
                <w:rFonts w:hint="cs"/>
                <w:sz w:val="26"/>
                <w:rtl/>
              </w:rPr>
              <w:t>בתוקף סמכות</w:t>
            </w:r>
            <w:r w:rsidR="007D291A">
              <w:rPr>
                <w:rFonts w:hint="cs"/>
                <w:sz w:val="26"/>
                <w:rtl/>
              </w:rPr>
              <w:t>נו</w:t>
            </w:r>
            <w:r w:rsidRPr="00372DB6">
              <w:rPr>
                <w:rFonts w:hint="cs"/>
                <w:sz w:val="26"/>
                <w:rtl/>
              </w:rPr>
              <w:t xml:space="preserve"> לפי סעיף 3</w:t>
            </w:r>
            <w:r w:rsidR="007D291A">
              <w:rPr>
                <w:rFonts w:hint="cs"/>
                <w:sz w:val="26"/>
                <w:rtl/>
              </w:rPr>
              <w:t>4</w:t>
            </w:r>
            <w:r w:rsidRPr="00372DB6">
              <w:rPr>
                <w:rFonts w:hint="cs"/>
                <w:sz w:val="26"/>
                <w:rtl/>
              </w:rPr>
              <w:t>(</w:t>
            </w:r>
            <w:r w:rsidR="007D291A">
              <w:rPr>
                <w:rFonts w:hint="cs"/>
                <w:sz w:val="26"/>
                <w:rtl/>
              </w:rPr>
              <w:t>ב</w:t>
            </w:r>
            <w:r w:rsidRPr="00372DB6">
              <w:rPr>
                <w:rFonts w:hint="cs"/>
                <w:sz w:val="26"/>
                <w:rtl/>
              </w:rPr>
              <w:t>) לחוק לקידום הבנייה במתחמים מועדפים</w:t>
            </w:r>
            <w:r w:rsidR="001678E7">
              <w:rPr>
                <w:rFonts w:hint="cs"/>
                <w:sz w:val="26"/>
                <w:rtl/>
              </w:rPr>
              <w:t xml:space="preserve"> לדיור (הוראת שעה), התשע"ד-2014</w:t>
            </w:r>
            <w:r w:rsidR="001678E7">
              <w:rPr>
                <w:rStyle w:val="a8"/>
                <w:sz w:val="26"/>
                <w:rtl/>
              </w:rPr>
              <w:footnoteReference w:id="1"/>
            </w:r>
            <w:r w:rsidR="001678E7">
              <w:rPr>
                <w:rFonts w:hint="cs"/>
                <w:sz w:val="26"/>
                <w:rtl/>
              </w:rPr>
              <w:t>,</w:t>
            </w:r>
            <w:r w:rsidRPr="00372DB6">
              <w:rPr>
                <w:rFonts w:hint="cs"/>
                <w:sz w:val="26"/>
                <w:rtl/>
              </w:rPr>
              <w:t xml:space="preserve"> </w:t>
            </w:r>
            <w:r w:rsidR="007D291A">
              <w:rPr>
                <w:rFonts w:hint="cs"/>
                <w:sz w:val="26"/>
                <w:rtl/>
              </w:rPr>
              <w:t>ו</w:t>
            </w:r>
            <w:r w:rsidRPr="00372DB6">
              <w:rPr>
                <w:rFonts w:hint="cs"/>
                <w:sz w:val="26"/>
                <w:rtl/>
              </w:rPr>
              <w:t xml:space="preserve">בהמלצת </w:t>
            </w:r>
            <w:r w:rsidR="007D291A">
              <w:rPr>
                <w:rFonts w:hint="cs"/>
                <w:sz w:val="26"/>
                <w:rtl/>
              </w:rPr>
              <w:t>ועדת הפנים והגנת הסביבה של הכנסת ובאישור הכנסת, אנו מצווים</w:t>
            </w:r>
            <w:r>
              <w:rPr>
                <w:rFonts w:hint="cs"/>
                <w:sz w:val="26"/>
                <w:rtl/>
              </w:rPr>
              <w:t xml:space="preserve"> </w:t>
            </w:r>
            <w:r w:rsidRPr="00372DB6">
              <w:rPr>
                <w:rFonts w:hint="cs"/>
                <w:sz w:val="26"/>
                <w:rtl/>
              </w:rPr>
              <w:t>לאמור:</w:t>
            </w:r>
          </w:p>
          <w:p w:rsidR="00754E68" w:rsidRPr="00372DB6" w:rsidRDefault="00754E68" w:rsidP="00F842D6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 </w:t>
            </w:r>
          </w:p>
          <w:p w:rsidR="00754E68" w:rsidRDefault="007D291A" w:rsidP="00312AAE">
            <w:pPr>
              <w:numPr>
                <w:ilvl w:val="0"/>
                <w:numId w:val="1"/>
              </w:numPr>
              <w:jc w:val="both"/>
              <w:rPr>
                <w:sz w:val="26"/>
              </w:rPr>
            </w:pPr>
            <w:r w:rsidRPr="007D291A">
              <w:rPr>
                <w:rFonts w:hint="cs"/>
                <w:sz w:val="26"/>
                <w:rtl/>
              </w:rPr>
              <w:t xml:space="preserve">תקופת תוקפו של החוק מוארך בזאת בשנה נוספת עד ליום  ו' באב </w:t>
            </w:r>
            <w:proofErr w:type="spellStart"/>
            <w:r w:rsidRPr="007D291A">
              <w:rPr>
                <w:rFonts w:hint="cs"/>
                <w:sz w:val="26"/>
                <w:rtl/>
              </w:rPr>
              <w:t>התשע"ט</w:t>
            </w:r>
            <w:proofErr w:type="spellEnd"/>
            <w:r w:rsidRPr="007D291A">
              <w:rPr>
                <w:rFonts w:hint="cs"/>
                <w:sz w:val="26"/>
                <w:rtl/>
              </w:rPr>
              <w:t xml:space="preserve"> (7 באוגוסט 2019).</w:t>
            </w:r>
          </w:p>
          <w:p w:rsidR="00754E68" w:rsidRDefault="00754E68" w:rsidP="00F842D6">
            <w:pPr>
              <w:ind w:left="525"/>
              <w:jc w:val="both"/>
              <w:rPr>
                <w:sz w:val="26"/>
              </w:rPr>
            </w:pPr>
          </w:p>
          <w:p w:rsidR="00754E68" w:rsidRPr="00372DB6" w:rsidRDefault="00754E68" w:rsidP="00F842D6">
            <w:pPr>
              <w:ind w:left="525"/>
              <w:jc w:val="both"/>
              <w:rPr>
                <w:sz w:val="26"/>
              </w:rPr>
            </w:pPr>
          </w:p>
          <w:p w:rsidR="00092C6D" w:rsidRDefault="007D291A" w:rsidP="00991132">
            <w:pPr>
              <w:numPr>
                <w:ilvl w:val="0"/>
                <w:numId w:val="1"/>
              </w:numPr>
              <w:contextualSpacing/>
              <w:jc w:val="both"/>
              <w:rPr>
                <w:sz w:val="26"/>
              </w:rPr>
            </w:pPr>
            <w:r>
              <w:rPr>
                <w:rFonts w:hint="cs"/>
                <w:rtl/>
              </w:rPr>
              <w:t>תחילתו של צו זה ביום פרסומו</w:t>
            </w:r>
            <w:r>
              <w:rPr>
                <w:rFonts w:hint="cs"/>
                <w:sz w:val="26"/>
                <w:rtl/>
              </w:rPr>
              <w:t>.</w:t>
            </w:r>
          </w:p>
          <w:p w:rsidR="00754E68" w:rsidRDefault="00754E68" w:rsidP="00F842D6">
            <w:pPr>
              <w:pStyle w:val="a3"/>
              <w:ind w:left="525"/>
              <w:jc w:val="both"/>
              <w:rPr>
                <w:sz w:val="26"/>
                <w:rtl/>
              </w:rPr>
            </w:pPr>
          </w:p>
          <w:p w:rsidR="00754E68" w:rsidRDefault="00754E68" w:rsidP="00F842D6">
            <w:pPr>
              <w:pStyle w:val="a3"/>
              <w:ind w:left="525"/>
              <w:jc w:val="both"/>
              <w:rPr>
                <w:sz w:val="26"/>
                <w:rtl/>
              </w:rPr>
            </w:pPr>
          </w:p>
          <w:p w:rsidR="00754E68" w:rsidRDefault="00754E68" w:rsidP="007D291A">
            <w:pPr>
              <w:jc w:val="both"/>
              <w:rPr>
                <w:sz w:val="26"/>
                <w:rtl/>
              </w:rPr>
            </w:pPr>
          </w:p>
          <w:p w:rsidR="005075E4" w:rsidRDefault="007D291A" w:rsidP="007D291A">
            <w:pPr>
              <w:jc w:val="both"/>
              <w:rPr>
                <w:sz w:val="26"/>
                <w:rtl/>
              </w:rPr>
            </w:pPr>
            <w:r w:rsidRPr="00896EEC">
              <w:rPr>
                <w:rFonts w:hint="cs"/>
                <w:sz w:val="26"/>
                <w:rtl/>
              </w:rPr>
              <w:t xml:space="preserve">___________ </w:t>
            </w:r>
            <w:proofErr w:type="spellStart"/>
            <w:r w:rsidRPr="00896EEC">
              <w:rPr>
                <w:rFonts w:hint="cs"/>
                <w:sz w:val="26"/>
                <w:rtl/>
              </w:rPr>
              <w:t>התשע"</w:t>
            </w:r>
            <w:r>
              <w:rPr>
                <w:rFonts w:hint="cs"/>
                <w:sz w:val="26"/>
                <w:rtl/>
              </w:rPr>
              <w:t>ח</w:t>
            </w:r>
            <w:proofErr w:type="spellEnd"/>
            <w:r w:rsidRPr="00896EEC">
              <w:rPr>
                <w:rFonts w:hint="cs"/>
                <w:sz w:val="26"/>
                <w:rtl/>
              </w:rPr>
              <w:t xml:space="preserve"> </w:t>
            </w:r>
          </w:p>
          <w:p w:rsidR="007D291A" w:rsidRDefault="007D291A" w:rsidP="007D291A">
            <w:pPr>
              <w:jc w:val="both"/>
              <w:rPr>
                <w:sz w:val="26"/>
                <w:rtl/>
              </w:rPr>
            </w:pPr>
            <w:r w:rsidRPr="00896EEC">
              <w:rPr>
                <w:rFonts w:hint="cs"/>
                <w:sz w:val="26"/>
                <w:rtl/>
              </w:rPr>
              <w:t>(________ 201</w:t>
            </w:r>
            <w:r>
              <w:rPr>
                <w:rFonts w:hint="cs"/>
                <w:sz w:val="26"/>
                <w:rtl/>
              </w:rPr>
              <w:t>8</w:t>
            </w:r>
            <w:r w:rsidRPr="00896EEC">
              <w:rPr>
                <w:rFonts w:hint="cs"/>
                <w:sz w:val="26"/>
                <w:rtl/>
              </w:rPr>
              <w:t>)</w:t>
            </w:r>
          </w:p>
          <w:p w:rsidR="007D291A" w:rsidRPr="008E123B" w:rsidRDefault="007D291A" w:rsidP="007D291A">
            <w:pPr>
              <w:ind w:left="525"/>
              <w:jc w:val="both"/>
              <w:rPr>
                <w:sz w:val="26"/>
              </w:rPr>
            </w:pPr>
            <w:r>
              <w:rPr>
                <w:rFonts w:hint="cs"/>
                <w:sz w:val="26"/>
                <w:rtl/>
              </w:rPr>
              <w:t xml:space="preserve">       (</w:t>
            </w:r>
            <w:proofErr w:type="spellStart"/>
            <w:r>
              <w:rPr>
                <w:rFonts w:hint="cs"/>
                <w:sz w:val="26"/>
                <w:rtl/>
              </w:rPr>
              <w:t>חמ</w:t>
            </w:r>
            <w:proofErr w:type="spellEnd"/>
            <w:r>
              <w:rPr>
                <w:rFonts w:hint="cs"/>
                <w:sz w:val="26"/>
                <w:rtl/>
              </w:rPr>
              <w:t xml:space="preserve"> 3-4988)</w:t>
            </w:r>
          </w:p>
          <w:p w:rsidR="00754E68" w:rsidRPr="00896EEC" w:rsidRDefault="00754E68" w:rsidP="00F842D6">
            <w:pPr>
              <w:jc w:val="both"/>
              <w:rPr>
                <w:rFonts w:ascii="Calibri" w:hAnsi="Calibri" w:cs="Arial"/>
                <w:szCs w:val="22"/>
                <w:rtl/>
              </w:rPr>
            </w:pPr>
          </w:p>
          <w:p w:rsidR="00754E68" w:rsidRPr="00896EEC" w:rsidRDefault="00754E68" w:rsidP="009E0C8D">
            <w:pPr>
              <w:ind w:left="525"/>
              <w:jc w:val="both"/>
              <w:rPr>
                <w:sz w:val="26"/>
                <w:rtl/>
              </w:rPr>
            </w:pPr>
          </w:p>
          <w:p w:rsidR="00754E68" w:rsidRPr="00896EEC" w:rsidRDefault="00754E68" w:rsidP="00F842D6">
            <w:pPr>
              <w:jc w:val="both"/>
              <w:rPr>
                <w:sz w:val="26"/>
                <w:rtl/>
              </w:rPr>
            </w:pPr>
          </w:p>
          <w:p w:rsidR="00754E68" w:rsidRPr="00896EEC" w:rsidRDefault="007D291A" w:rsidP="007D291A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                         __</w:t>
            </w:r>
            <w:r w:rsidR="00754E68" w:rsidRPr="00896EEC">
              <w:rPr>
                <w:rFonts w:hint="cs"/>
                <w:sz w:val="26"/>
                <w:rtl/>
              </w:rPr>
              <w:t>___________</w:t>
            </w:r>
            <w:r>
              <w:rPr>
                <w:rFonts w:hint="cs"/>
                <w:sz w:val="26"/>
                <w:rtl/>
              </w:rPr>
              <w:t xml:space="preserve">                                  </w:t>
            </w:r>
            <w:r w:rsidR="00754E68" w:rsidRPr="00896EEC">
              <w:rPr>
                <w:rFonts w:hint="cs"/>
                <w:sz w:val="26"/>
                <w:rtl/>
              </w:rPr>
              <w:t xml:space="preserve">           </w:t>
            </w:r>
            <w:r w:rsidR="00312AAE">
              <w:rPr>
                <w:rFonts w:hint="cs"/>
                <w:sz w:val="26"/>
                <w:rtl/>
              </w:rPr>
              <w:t xml:space="preserve">   </w:t>
            </w:r>
            <w:r w:rsidR="00754E68" w:rsidRPr="00896EEC">
              <w:rPr>
                <w:rFonts w:hint="cs"/>
                <w:sz w:val="26"/>
                <w:rtl/>
              </w:rPr>
              <w:t xml:space="preserve">       _____________</w:t>
            </w:r>
          </w:p>
          <w:p w:rsidR="00754E68" w:rsidRPr="00896EEC" w:rsidRDefault="00754E68" w:rsidP="007D291A">
            <w:pPr>
              <w:jc w:val="both"/>
              <w:rPr>
                <w:sz w:val="26"/>
                <w:rtl/>
              </w:rPr>
            </w:pPr>
            <w:r w:rsidRPr="00896EEC">
              <w:rPr>
                <w:rFonts w:hint="cs"/>
                <w:sz w:val="26"/>
                <w:rtl/>
              </w:rPr>
              <w:t xml:space="preserve">                           </w:t>
            </w:r>
            <w:r w:rsidR="007D291A">
              <w:rPr>
                <w:rFonts w:hint="cs"/>
                <w:sz w:val="26"/>
                <w:rtl/>
              </w:rPr>
              <w:t xml:space="preserve"> בנימין נתניהו                                                                  </w:t>
            </w:r>
            <w:r>
              <w:rPr>
                <w:rFonts w:hint="cs"/>
                <w:sz w:val="26"/>
                <w:rtl/>
              </w:rPr>
              <w:t>משה כחלון</w:t>
            </w:r>
          </w:p>
          <w:p w:rsidR="00754E68" w:rsidRDefault="00754E68" w:rsidP="007D291A">
            <w:pPr>
              <w:jc w:val="both"/>
              <w:rPr>
                <w:sz w:val="26"/>
                <w:rtl/>
              </w:rPr>
            </w:pPr>
            <w:r w:rsidRPr="00896EEC">
              <w:rPr>
                <w:rFonts w:hint="cs"/>
                <w:sz w:val="26"/>
                <w:rtl/>
              </w:rPr>
              <w:t xml:space="preserve">                           </w:t>
            </w:r>
            <w:r w:rsidR="007D291A">
              <w:rPr>
                <w:rFonts w:hint="cs"/>
                <w:sz w:val="26"/>
                <w:rtl/>
              </w:rPr>
              <w:t>ראש הממשלה</w:t>
            </w:r>
            <w:r w:rsidRPr="00896EEC">
              <w:rPr>
                <w:rFonts w:hint="cs"/>
                <w:sz w:val="26"/>
                <w:rtl/>
              </w:rPr>
              <w:t xml:space="preserve">                       </w:t>
            </w:r>
            <w:r>
              <w:rPr>
                <w:rFonts w:hint="cs"/>
                <w:sz w:val="26"/>
                <w:rtl/>
              </w:rPr>
              <w:t xml:space="preserve">                                           </w:t>
            </w:r>
            <w:r w:rsidRPr="00896EEC">
              <w:rPr>
                <w:rFonts w:hint="cs"/>
                <w:sz w:val="26"/>
                <w:rtl/>
              </w:rPr>
              <w:t xml:space="preserve">שר האוצר </w:t>
            </w:r>
          </w:p>
          <w:p w:rsidR="00754E68" w:rsidRDefault="00754E68" w:rsidP="007D291A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                                                                                      </w:t>
            </w:r>
            <w:r w:rsidR="007433D9">
              <w:rPr>
                <w:rFonts w:hint="cs"/>
                <w:sz w:val="26"/>
                <w:rtl/>
              </w:rPr>
              <w:t xml:space="preserve">         </w:t>
            </w:r>
          </w:p>
          <w:p w:rsidR="00754E68" w:rsidRPr="00896EEC" w:rsidRDefault="00754E68" w:rsidP="00F842D6">
            <w:pPr>
              <w:pBdr>
                <w:bottom w:val="single" w:sz="12" w:space="1" w:color="auto"/>
              </w:pBdr>
              <w:ind w:left="525"/>
              <w:jc w:val="both"/>
              <w:rPr>
                <w:sz w:val="26"/>
                <w:rtl/>
              </w:rPr>
            </w:pPr>
            <w:r w:rsidRPr="00896EEC">
              <w:rPr>
                <w:rFonts w:hint="cs"/>
                <w:sz w:val="26"/>
                <w:rtl/>
              </w:rPr>
              <w:t xml:space="preserve">                  </w:t>
            </w:r>
          </w:p>
          <w:p w:rsidR="00754E68" w:rsidRDefault="00754E68" w:rsidP="001678E7">
            <w:pPr>
              <w:pBdr>
                <w:bottom w:val="single" w:sz="12" w:space="1" w:color="auto"/>
              </w:pBdr>
              <w:ind w:left="525"/>
              <w:jc w:val="both"/>
              <w:rPr>
                <w:rtl/>
              </w:rPr>
            </w:pPr>
          </w:p>
        </w:tc>
      </w:tr>
    </w:tbl>
    <w:p w:rsidR="00754E68" w:rsidRPr="00CE37CE" w:rsidRDefault="00754E68" w:rsidP="00754E68">
      <w:pPr>
        <w:jc w:val="center"/>
        <w:rPr>
          <w:b/>
          <w:bCs/>
          <w:sz w:val="28"/>
          <w:szCs w:val="28"/>
          <w:u w:val="single"/>
          <w:rtl/>
        </w:rPr>
      </w:pPr>
    </w:p>
    <w:p w:rsidR="00754E68" w:rsidRDefault="00754E68">
      <w:pPr>
        <w:rPr>
          <w:rtl/>
        </w:rPr>
      </w:pPr>
    </w:p>
    <w:p w:rsidR="001678E7" w:rsidRDefault="001678E7">
      <w:pPr>
        <w:rPr>
          <w:rtl/>
        </w:rPr>
      </w:pPr>
    </w:p>
    <w:p w:rsidR="001678E7" w:rsidRPr="00BF3003" w:rsidRDefault="001678E7" w:rsidP="001678E7">
      <w:pPr>
        <w:jc w:val="center"/>
        <w:rPr>
          <w:sz w:val="34"/>
          <w:szCs w:val="34"/>
          <w:rtl/>
        </w:rPr>
      </w:pPr>
      <w:r w:rsidRPr="00BF3003">
        <w:rPr>
          <w:rFonts w:hint="cs"/>
          <w:sz w:val="34"/>
          <w:szCs w:val="34"/>
          <w:rtl/>
        </w:rPr>
        <w:lastRenderedPageBreak/>
        <w:t>דברי הסבר</w:t>
      </w:r>
    </w:p>
    <w:p w:rsidR="001678E7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</w:p>
    <w:p w:rsidR="00A162A7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  <w:r w:rsidRPr="00590C35">
        <w:rPr>
          <w:rFonts w:asciiTheme="majorBidi" w:hAnsiTheme="majorBidi" w:hint="cs"/>
          <w:szCs w:val="24"/>
          <w:rtl/>
        </w:rPr>
        <w:t>ב</w:t>
      </w:r>
      <w:r>
        <w:rPr>
          <w:rFonts w:asciiTheme="majorBidi" w:hAnsiTheme="majorBidi" w:hint="cs"/>
          <w:szCs w:val="24"/>
          <w:rtl/>
        </w:rPr>
        <w:t>יום 7 באוגוסט 2014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>
        <w:rPr>
          <w:rFonts w:asciiTheme="majorBidi" w:hAnsiTheme="majorBidi" w:hint="cs"/>
          <w:szCs w:val="24"/>
          <w:rtl/>
        </w:rPr>
        <w:t>פורסם ה</w:t>
      </w:r>
      <w:r w:rsidRPr="00590C35">
        <w:rPr>
          <w:rFonts w:asciiTheme="majorBidi" w:hAnsiTheme="majorBidi" w:hint="cs"/>
          <w:szCs w:val="24"/>
          <w:rtl/>
        </w:rPr>
        <w:t xml:space="preserve">חוק </w:t>
      </w:r>
      <w:r>
        <w:rPr>
          <w:rFonts w:asciiTheme="majorBidi" w:hAnsiTheme="majorBidi" w:hint="cs"/>
          <w:szCs w:val="24"/>
          <w:rtl/>
        </w:rPr>
        <w:t>לקידום הבנייה במתחמים מועדפים לדיור (הוראת שעה), התשע"ד-2014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>
        <w:rPr>
          <w:rFonts w:asciiTheme="majorBidi" w:hAnsiTheme="majorBidi" w:hint="cs"/>
          <w:szCs w:val="24"/>
          <w:rtl/>
        </w:rPr>
        <w:t xml:space="preserve">(להלן </w:t>
      </w:r>
      <w:r>
        <w:rPr>
          <w:rFonts w:asciiTheme="majorBidi" w:hAnsiTheme="majorBidi" w:hint="eastAsia"/>
          <w:szCs w:val="24"/>
          <w:rtl/>
        </w:rPr>
        <w:t>–</w:t>
      </w:r>
      <w:r>
        <w:rPr>
          <w:rFonts w:asciiTheme="majorBidi" w:hAnsiTheme="majorBidi" w:hint="cs"/>
          <w:szCs w:val="24"/>
          <w:rtl/>
        </w:rPr>
        <w:t xml:space="preserve"> </w:t>
      </w:r>
      <w:r w:rsidRPr="00B11F01">
        <w:rPr>
          <w:rFonts w:asciiTheme="majorBidi" w:hAnsiTheme="majorBidi" w:hint="cs"/>
          <w:b/>
          <w:bCs/>
          <w:szCs w:val="24"/>
          <w:rtl/>
        </w:rPr>
        <w:t>החוק</w:t>
      </w:r>
      <w:r>
        <w:rPr>
          <w:rFonts w:asciiTheme="majorBidi" w:hAnsiTheme="majorBidi" w:hint="cs"/>
          <w:szCs w:val="24"/>
          <w:rtl/>
        </w:rPr>
        <w:t xml:space="preserve">), </w:t>
      </w:r>
      <w:r w:rsidRPr="00590C35">
        <w:rPr>
          <w:rFonts w:asciiTheme="majorBidi" w:hAnsiTheme="majorBidi" w:hint="cs"/>
          <w:szCs w:val="24"/>
          <w:rtl/>
        </w:rPr>
        <w:t>שתכליתו</w:t>
      </w:r>
      <w:r w:rsidRPr="00590C35">
        <w:rPr>
          <w:rFonts w:asciiTheme="majorBidi" w:hAnsiTheme="majorBidi"/>
          <w:szCs w:val="24"/>
          <w:rtl/>
        </w:rPr>
        <w:t xml:space="preserve"> לגבש הליך תכנוני מיוחד במסגרתו יאושרו תכניות בנייה למגורים בהיקף רחב בתוך פרק זמן קצר יחסית</w:t>
      </w:r>
      <w:r w:rsidRPr="00590C35">
        <w:rPr>
          <w:rFonts w:asciiTheme="majorBidi" w:hAnsiTheme="majorBidi" w:hint="cs"/>
          <w:szCs w:val="24"/>
          <w:rtl/>
        </w:rPr>
        <w:t xml:space="preserve"> (להלן </w:t>
      </w:r>
      <w:r w:rsidRPr="00590C35">
        <w:rPr>
          <w:rFonts w:asciiTheme="majorBidi" w:hAnsiTheme="majorBidi"/>
          <w:szCs w:val="24"/>
          <w:rtl/>
        </w:rPr>
        <w:t>–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 w:rsidRPr="00B11F01">
        <w:rPr>
          <w:rFonts w:asciiTheme="majorBidi" w:hAnsiTheme="majorBidi" w:hint="cs"/>
          <w:b/>
          <w:bCs/>
          <w:szCs w:val="24"/>
          <w:rtl/>
        </w:rPr>
        <w:t>תכניות מועדפות לדיור</w:t>
      </w:r>
      <w:r w:rsidRPr="00590C35">
        <w:rPr>
          <w:rFonts w:asciiTheme="majorBidi" w:hAnsiTheme="majorBidi" w:hint="cs"/>
          <w:szCs w:val="24"/>
          <w:rtl/>
        </w:rPr>
        <w:t xml:space="preserve">). </w:t>
      </w:r>
      <w:r w:rsidR="00A162A7" w:rsidRPr="00590C35">
        <w:rPr>
          <w:rFonts w:asciiTheme="majorBidi" w:hAnsiTheme="majorBidi"/>
          <w:szCs w:val="24"/>
          <w:rtl/>
        </w:rPr>
        <w:t>כדי לייעל את ההליך התכנוני של תכניות למגורים ולקצר באופן משמעותי את לוחות הזמנים להשלמת</w:t>
      </w:r>
      <w:r w:rsidR="00A162A7" w:rsidRPr="00590C35">
        <w:rPr>
          <w:rFonts w:asciiTheme="majorBidi" w:hAnsiTheme="majorBidi" w:hint="cs"/>
          <w:szCs w:val="24"/>
          <w:rtl/>
        </w:rPr>
        <w:t xml:space="preserve"> </w:t>
      </w:r>
      <w:r w:rsidR="00A162A7" w:rsidRPr="00590C35">
        <w:rPr>
          <w:rFonts w:asciiTheme="majorBidi" w:hAnsiTheme="majorBidi"/>
          <w:szCs w:val="24"/>
          <w:rtl/>
        </w:rPr>
        <w:t xml:space="preserve">ההליך האמור, </w:t>
      </w:r>
      <w:r w:rsidR="00A162A7">
        <w:rPr>
          <w:rFonts w:asciiTheme="majorBidi" w:hAnsiTheme="majorBidi" w:hint="cs"/>
          <w:szCs w:val="24"/>
          <w:rtl/>
        </w:rPr>
        <w:t>הוקם במסגרת</w:t>
      </w:r>
      <w:r w:rsidR="00A162A7" w:rsidRPr="00590C35">
        <w:rPr>
          <w:rFonts w:asciiTheme="majorBidi" w:hAnsiTheme="majorBidi" w:hint="cs"/>
          <w:szCs w:val="24"/>
          <w:rtl/>
        </w:rPr>
        <w:t xml:space="preserve"> החוק </w:t>
      </w:r>
      <w:r w:rsidR="00A162A7" w:rsidRPr="00590C35">
        <w:rPr>
          <w:rFonts w:asciiTheme="majorBidi" w:hAnsiTheme="majorBidi"/>
          <w:szCs w:val="24"/>
          <w:rtl/>
        </w:rPr>
        <w:t xml:space="preserve">מוסד תכנון </w:t>
      </w:r>
      <w:r w:rsidR="00A162A7" w:rsidRPr="00590C35">
        <w:rPr>
          <w:rFonts w:asciiTheme="majorBidi" w:hAnsiTheme="majorBidi" w:hint="cs"/>
          <w:szCs w:val="24"/>
          <w:rtl/>
        </w:rPr>
        <w:t xml:space="preserve">חדש - </w:t>
      </w:r>
      <w:r w:rsidR="00A162A7" w:rsidRPr="00590C35">
        <w:rPr>
          <w:rFonts w:asciiTheme="majorBidi" w:hAnsiTheme="majorBidi"/>
          <w:szCs w:val="24"/>
          <w:rtl/>
        </w:rPr>
        <w:t>"הועדה הארצית לתכנון ובנייה של מתחמים מועדפים לדיור" (להל</w:t>
      </w:r>
      <w:r w:rsidR="00A162A7">
        <w:rPr>
          <w:rFonts w:asciiTheme="majorBidi" w:hAnsiTheme="majorBidi" w:hint="cs"/>
          <w:szCs w:val="24"/>
          <w:rtl/>
        </w:rPr>
        <w:t xml:space="preserve">ן </w:t>
      </w:r>
      <w:r w:rsidR="00A162A7">
        <w:rPr>
          <w:rFonts w:asciiTheme="majorBidi" w:hAnsiTheme="majorBidi" w:hint="eastAsia"/>
          <w:szCs w:val="24"/>
          <w:rtl/>
        </w:rPr>
        <w:t>–</w:t>
      </w:r>
      <w:r w:rsidR="00A162A7" w:rsidRPr="00590C35">
        <w:rPr>
          <w:rFonts w:asciiTheme="majorBidi" w:hAnsiTheme="majorBidi"/>
          <w:szCs w:val="24"/>
          <w:rtl/>
        </w:rPr>
        <w:t xml:space="preserve"> </w:t>
      </w:r>
      <w:proofErr w:type="spellStart"/>
      <w:r w:rsidR="00A162A7" w:rsidRPr="00B11F01">
        <w:rPr>
          <w:rFonts w:asciiTheme="majorBidi" w:hAnsiTheme="majorBidi"/>
          <w:b/>
          <w:bCs/>
          <w:szCs w:val="24"/>
          <w:rtl/>
        </w:rPr>
        <w:t>הותמ</w:t>
      </w:r>
      <w:proofErr w:type="spellEnd"/>
      <w:r w:rsidR="00A162A7" w:rsidRPr="00B11F01">
        <w:rPr>
          <w:rFonts w:asciiTheme="majorBidi" w:hAnsiTheme="majorBidi"/>
          <w:b/>
          <w:bCs/>
          <w:szCs w:val="24"/>
          <w:rtl/>
        </w:rPr>
        <w:t>''ל</w:t>
      </w:r>
      <w:r w:rsidR="00A162A7" w:rsidRPr="00590C35">
        <w:rPr>
          <w:rFonts w:asciiTheme="majorBidi" w:hAnsiTheme="majorBidi"/>
          <w:szCs w:val="24"/>
          <w:rtl/>
        </w:rPr>
        <w:t>)</w:t>
      </w:r>
      <w:r w:rsidR="00A162A7" w:rsidRPr="00590C35">
        <w:rPr>
          <w:rFonts w:asciiTheme="majorBidi" w:hAnsiTheme="majorBidi" w:hint="cs"/>
          <w:szCs w:val="24"/>
          <w:rtl/>
        </w:rPr>
        <w:t xml:space="preserve"> </w:t>
      </w:r>
      <w:r w:rsidR="00A162A7">
        <w:rPr>
          <w:rFonts w:asciiTheme="majorBidi" w:hAnsiTheme="majorBidi" w:hint="cs"/>
          <w:szCs w:val="24"/>
          <w:rtl/>
        </w:rPr>
        <w:t>לה ניתנה הסמכות</w:t>
      </w:r>
      <w:r w:rsidR="00A162A7" w:rsidRPr="00590C35">
        <w:rPr>
          <w:rFonts w:asciiTheme="majorBidi" w:hAnsiTheme="majorBidi" w:hint="cs"/>
          <w:szCs w:val="24"/>
          <w:rtl/>
        </w:rPr>
        <w:t xml:space="preserve"> לדון בתכניות </w:t>
      </w:r>
      <w:r w:rsidR="00A162A7">
        <w:rPr>
          <w:rFonts w:asciiTheme="majorBidi" w:hAnsiTheme="majorBidi" w:hint="cs"/>
          <w:szCs w:val="24"/>
          <w:rtl/>
        </w:rPr>
        <w:t>מועדפות לדיור</w:t>
      </w:r>
      <w:r w:rsidR="00A162A7" w:rsidRPr="00590C35">
        <w:rPr>
          <w:rFonts w:asciiTheme="majorBidi" w:hAnsiTheme="majorBidi"/>
          <w:szCs w:val="24"/>
          <w:rtl/>
        </w:rPr>
        <w:t xml:space="preserve">. זאת, תוך קביעת הוראות שיבטיחו </w:t>
      </w:r>
      <w:r w:rsidR="00A162A7">
        <w:rPr>
          <w:rFonts w:asciiTheme="majorBidi" w:hAnsiTheme="majorBidi" w:hint="cs"/>
          <w:szCs w:val="24"/>
          <w:rtl/>
        </w:rPr>
        <w:t>את</w:t>
      </w:r>
      <w:r w:rsidR="00A162A7" w:rsidRPr="00590C35">
        <w:rPr>
          <w:rFonts w:asciiTheme="majorBidi" w:hAnsiTheme="majorBidi"/>
          <w:szCs w:val="24"/>
          <w:rtl/>
        </w:rPr>
        <w:t xml:space="preserve"> איכות התכנון וקיומו של הליך תכנוני תקין ונאות.</w:t>
      </w:r>
    </w:p>
    <w:p w:rsidR="00A162A7" w:rsidRDefault="00A162A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</w:p>
    <w:p w:rsidR="001678E7" w:rsidRPr="00590C35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  <w:r w:rsidRPr="00590C35">
        <w:rPr>
          <w:rFonts w:asciiTheme="majorBidi" w:hAnsiTheme="majorBidi" w:hint="cs"/>
          <w:szCs w:val="24"/>
          <w:rtl/>
        </w:rPr>
        <w:t>בשנת 2016 תוקן החוק באופן שנקבע בו גם</w:t>
      </w:r>
      <w:r w:rsidRPr="00590C35">
        <w:rPr>
          <w:rFonts w:asciiTheme="majorBidi" w:hAnsiTheme="majorBidi"/>
          <w:szCs w:val="24"/>
          <w:rtl/>
        </w:rPr>
        <w:t xml:space="preserve"> הליך מזורז לעניין השבת קרקעות מדינה </w:t>
      </w:r>
      <w:r w:rsidRPr="00590C35">
        <w:rPr>
          <w:rFonts w:asciiTheme="majorBidi" w:hAnsiTheme="majorBidi" w:hint="cs"/>
          <w:szCs w:val="24"/>
          <w:rtl/>
        </w:rPr>
        <w:t xml:space="preserve">וזאת לצורך הסדרת הזמינות של הקרקעות </w:t>
      </w:r>
      <w:r w:rsidRPr="00590C35">
        <w:rPr>
          <w:rFonts w:asciiTheme="majorBidi" w:hAnsiTheme="majorBidi"/>
          <w:szCs w:val="24"/>
          <w:rtl/>
        </w:rPr>
        <w:t>שעליהן מתוכננות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התוכניות האמורות</w:t>
      </w:r>
      <w:r w:rsidRPr="00590C35">
        <w:rPr>
          <w:rFonts w:asciiTheme="majorBidi" w:hAnsiTheme="majorBidi" w:hint="cs"/>
          <w:szCs w:val="24"/>
          <w:rtl/>
        </w:rPr>
        <w:t>. בשנת 2017 תוקן החוק פעם נוספת באופן שהורחבה תחולתו גם על תכניות לפינוי בינוי ותכניות החלות על קרקע פרטית, בכפוף לתנאים שנקבעו בחוק.</w:t>
      </w:r>
    </w:p>
    <w:p w:rsidR="001678E7" w:rsidRPr="00590C35" w:rsidRDefault="001678E7" w:rsidP="001678E7">
      <w:pPr>
        <w:spacing w:line="360" w:lineRule="auto"/>
        <w:ind w:left="84"/>
        <w:contextualSpacing/>
        <w:rPr>
          <w:rFonts w:asciiTheme="majorBidi" w:hAnsiTheme="majorBidi"/>
          <w:szCs w:val="24"/>
          <w:rtl/>
        </w:rPr>
      </w:pPr>
    </w:p>
    <w:p w:rsidR="001678E7" w:rsidRPr="00590C35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  <w:r>
        <w:rPr>
          <w:rFonts w:asciiTheme="majorBidi" w:hAnsiTheme="majorBidi" w:hint="cs"/>
          <w:szCs w:val="24"/>
          <w:rtl/>
        </w:rPr>
        <w:t>ה</w:t>
      </w:r>
      <w:r w:rsidRPr="00590C35">
        <w:rPr>
          <w:rFonts w:asciiTheme="majorBidi" w:hAnsiTheme="majorBidi"/>
          <w:szCs w:val="24"/>
          <w:rtl/>
        </w:rPr>
        <w:t>חוק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נחקק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כהוראת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שעה</w:t>
      </w:r>
      <w:r w:rsidRPr="00590C35">
        <w:rPr>
          <w:rFonts w:asciiTheme="majorBidi" w:hAnsiTheme="majorBidi" w:hint="cs"/>
          <w:szCs w:val="24"/>
          <w:rtl/>
        </w:rPr>
        <w:t>,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כך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שיחול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 w:rsidRPr="00590C35">
        <w:rPr>
          <w:rFonts w:asciiTheme="majorBidi" w:hAnsiTheme="majorBidi"/>
          <w:szCs w:val="24"/>
          <w:rtl/>
        </w:rPr>
        <w:t>על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תכנית</w:t>
      </w:r>
      <w:r w:rsidRPr="00590C35">
        <w:rPr>
          <w:rFonts w:asciiTheme="majorBidi" w:hAnsiTheme="majorBidi" w:hint="cs"/>
          <w:szCs w:val="24"/>
          <w:rtl/>
        </w:rPr>
        <w:t xml:space="preserve"> מועדפת לדיור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ש</w:t>
      </w:r>
      <w:r w:rsidRPr="00590C35">
        <w:rPr>
          <w:rFonts w:asciiTheme="majorBidi" w:hAnsiTheme="majorBidi" w:hint="cs"/>
          <w:szCs w:val="24"/>
          <w:rtl/>
        </w:rPr>
        <w:t>הוגשה לוועדה ונקלטה בתקופה של ארבע שנים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מיום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תחילתו</w:t>
      </w:r>
      <w:r w:rsidRPr="00590C35">
        <w:rPr>
          <w:rFonts w:asciiTheme="majorBidi" w:hAnsiTheme="majorBidi" w:hint="cs"/>
          <w:szCs w:val="24"/>
          <w:rtl/>
        </w:rPr>
        <w:t>, קרי עד ליום 7 באוגוסט 2018.</w:t>
      </w:r>
      <w:r>
        <w:rPr>
          <w:rFonts w:asciiTheme="majorBidi" w:hAnsiTheme="majorBidi" w:hint="cs"/>
          <w:szCs w:val="24"/>
          <w:rtl/>
        </w:rPr>
        <w:t xml:space="preserve"> המחוקק צפה כי ייתכן שיהיה צורך בהארכת תוקף החוק ועל כן</w:t>
      </w:r>
      <w:r w:rsidRPr="00590C35">
        <w:rPr>
          <w:rFonts w:asciiTheme="majorBidi" w:hAnsiTheme="majorBidi"/>
          <w:szCs w:val="24"/>
        </w:rPr>
        <w:t xml:space="preserve"> </w:t>
      </w:r>
      <w:r>
        <w:rPr>
          <w:rFonts w:asciiTheme="majorBidi" w:hAnsiTheme="majorBidi" w:hint="cs"/>
          <w:szCs w:val="24"/>
          <w:rtl/>
        </w:rPr>
        <w:t>נקבע בסעיף 34(ב) לחוק</w:t>
      </w:r>
      <w:r w:rsidRPr="00590C35">
        <w:rPr>
          <w:rFonts w:asciiTheme="majorBidi" w:hAnsiTheme="majorBidi" w:hint="cs"/>
          <w:szCs w:val="24"/>
          <w:rtl/>
        </w:rPr>
        <w:t>, כי ראש הממשלה ושר האוצר רשאים, יחד, בצו, לאחר המלצת ועדת הפנים והגנת הסביבה ובאישור הכנסת, להאריך את התקופה האמורה, בשתי תקופות נוספות של שנה כל אחת.</w:t>
      </w:r>
    </w:p>
    <w:p w:rsidR="001678E7" w:rsidRPr="00590C35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</w:p>
    <w:p w:rsidR="001678E7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  <w:r w:rsidRPr="00590C35">
        <w:rPr>
          <w:rFonts w:asciiTheme="majorBidi" w:hAnsiTheme="majorBidi"/>
          <w:szCs w:val="24"/>
          <w:rtl/>
        </w:rPr>
        <w:t>מאז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 w:hint="cs"/>
          <w:szCs w:val="24"/>
          <w:rtl/>
        </w:rPr>
        <w:t>כניסתו של החוק לתוקף הוכרזו</w:t>
      </w:r>
      <w:r>
        <w:rPr>
          <w:rFonts w:asciiTheme="majorBidi" w:hAnsiTheme="majorBidi" w:hint="cs"/>
          <w:szCs w:val="24"/>
          <w:rtl/>
        </w:rPr>
        <w:t xml:space="preserve"> על ידי הממשלה</w:t>
      </w:r>
      <w:r w:rsidRPr="00590C35">
        <w:rPr>
          <w:rFonts w:asciiTheme="majorBidi" w:hAnsiTheme="majorBidi" w:hint="cs"/>
          <w:szCs w:val="24"/>
          <w:rtl/>
        </w:rPr>
        <w:t xml:space="preserve"> 88 מתחמים מועדפים לדיור </w:t>
      </w:r>
      <w:r>
        <w:rPr>
          <w:rFonts w:asciiTheme="majorBidi" w:hAnsiTheme="majorBidi" w:hint="cs"/>
          <w:szCs w:val="24"/>
          <w:rtl/>
        </w:rPr>
        <w:t xml:space="preserve">אשר </w:t>
      </w:r>
      <w:r w:rsidRPr="00590C35">
        <w:rPr>
          <w:rFonts w:asciiTheme="majorBidi" w:hAnsiTheme="majorBidi" w:hint="cs"/>
          <w:szCs w:val="24"/>
          <w:rtl/>
        </w:rPr>
        <w:t>בתחומם ניתן להגיש תכניות מועדפות לדיור בהיקף של כ</w:t>
      </w:r>
      <w:r>
        <w:rPr>
          <w:rFonts w:asciiTheme="majorBidi" w:hAnsiTheme="majorBidi" w:hint="cs"/>
          <w:szCs w:val="24"/>
          <w:rtl/>
        </w:rPr>
        <w:t>-</w:t>
      </w:r>
      <w:r w:rsidRPr="00590C35">
        <w:rPr>
          <w:rFonts w:asciiTheme="majorBidi" w:hAnsiTheme="majorBidi" w:hint="cs"/>
          <w:szCs w:val="24"/>
          <w:rtl/>
        </w:rPr>
        <w:t xml:space="preserve"> 303,000 יחידות דיור</w:t>
      </w:r>
      <w:r>
        <w:rPr>
          <w:rFonts w:asciiTheme="majorBidi" w:hAnsiTheme="majorBidi" w:hint="cs"/>
          <w:szCs w:val="24"/>
          <w:rtl/>
        </w:rPr>
        <w:t>.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>
        <w:rPr>
          <w:rFonts w:asciiTheme="majorBidi" w:hAnsiTheme="majorBidi" w:hint="cs"/>
          <w:szCs w:val="24"/>
          <w:rtl/>
        </w:rPr>
        <w:t xml:space="preserve">בהמשך לכך, </w:t>
      </w:r>
      <w:r w:rsidRPr="00590C35">
        <w:rPr>
          <w:rFonts w:asciiTheme="majorBidi" w:hAnsiTheme="majorBidi" w:hint="cs"/>
          <w:szCs w:val="24"/>
          <w:rtl/>
        </w:rPr>
        <w:t>הוגשו</w:t>
      </w:r>
      <w:r>
        <w:rPr>
          <w:rFonts w:asciiTheme="majorBidi" w:hAnsiTheme="majorBidi" w:hint="cs"/>
          <w:szCs w:val="24"/>
          <w:rtl/>
        </w:rPr>
        <w:t xml:space="preserve"> עד עתה </w:t>
      </w:r>
      <w:proofErr w:type="spellStart"/>
      <w:r>
        <w:rPr>
          <w:rFonts w:asciiTheme="majorBidi" w:hAnsiTheme="majorBidi" w:hint="cs"/>
          <w:szCs w:val="24"/>
          <w:rtl/>
        </w:rPr>
        <w:t>לותמ"ל</w:t>
      </w:r>
      <w:proofErr w:type="spellEnd"/>
      <w:r w:rsidRPr="00590C35">
        <w:rPr>
          <w:rFonts w:asciiTheme="majorBidi" w:hAnsiTheme="majorBidi" w:hint="cs"/>
          <w:szCs w:val="24"/>
          <w:rtl/>
        </w:rPr>
        <w:t xml:space="preserve"> 50 תכניות מועדפות לדיור הכוללות 161,181 יחידות דיור</w:t>
      </w:r>
      <w:r>
        <w:rPr>
          <w:rFonts w:asciiTheme="majorBidi" w:hAnsiTheme="majorBidi" w:hint="cs"/>
          <w:szCs w:val="24"/>
          <w:rtl/>
        </w:rPr>
        <w:t>,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>
        <w:rPr>
          <w:rFonts w:asciiTheme="majorBidi" w:hAnsiTheme="majorBidi" w:hint="cs"/>
          <w:szCs w:val="24"/>
          <w:rtl/>
        </w:rPr>
        <w:t>מתוכם אושרו</w:t>
      </w:r>
      <w:r w:rsidRPr="00590C35">
        <w:rPr>
          <w:rFonts w:asciiTheme="majorBidi" w:hAnsiTheme="majorBidi" w:hint="cs"/>
          <w:szCs w:val="24"/>
          <w:rtl/>
        </w:rPr>
        <w:t xml:space="preserve"> 37 תכניות מועדפות לדיור הכוללות 104,701 יחידות דיור </w:t>
      </w:r>
      <w:r>
        <w:rPr>
          <w:rFonts w:asciiTheme="majorBidi" w:hAnsiTheme="majorBidi" w:hint="cs"/>
          <w:szCs w:val="24"/>
          <w:rtl/>
        </w:rPr>
        <w:t>בכל רחבי הארץ. בנוסף, עד היום שווקו 19,000 יחידות דיור.</w:t>
      </w:r>
    </w:p>
    <w:p w:rsidR="001678E7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</w:p>
    <w:p w:rsidR="001678E7" w:rsidRPr="00590C35" w:rsidRDefault="001678E7" w:rsidP="001678E7">
      <w:pPr>
        <w:autoSpaceDE w:val="0"/>
        <w:autoSpaceDN w:val="0"/>
        <w:adjustRightInd w:val="0"/>
        <w:spacing w:line="360" w:lineRule="auto"/>
        <w:ind w:left="84"/>
        <w:contextualSpacing/>
        <w:jc w:val="both"/>
        <w:rPr>
          <w:rFonts w:asciiTheme="majorBidi" w:hAnsiTheme="majorBidi"/>
          <w:szCs w:val="24"/>
          <w:rtl/>
        </w:rPr>
      </w:pPr>
      <w:r w:rsidRPr="00590C35">
        <w:rPr>
          <w:rFonts w:asciiTheme="majorBidi" w:hAnsiTheme="majorBidi"/>
          <w:szCs w:val="24"/>
          <w:rtl/>
        </w:rPr>
        <w:t>מהניסיון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שהצטבר</w:t>
      </w:r>
      <w:r w:rsidRPr="00590C35">
        <w:rPr>
          <w:rFonts w:asciiTheme="majorBidi" w:hAnsiTheme="majorBidi"/>
          <w:szCs w:val="24"/>
        </w:rPr>
        <w:t xml:space="preserve"> </w:t>
      </w:r>
      <w:proofErr w:type="spellStart"/>
      <w:r w:rsidRPr="00590C35">
        <w:rPr>
          <w:rFonts w:asciiTheme="majorBidi" w:hAnsiTheme="majorBidi" w:hint="cs"/>
          <w:szCs w:val="24"/>
          <w:rtl/>
        </w:rPr>
        <w:t>בותמ</w:t>
      </w:r>
      <w:proofErr w:type="spellEnd"/>
      <w:r w:rsidRPr="00590C35">
        <w:rPr>
          <w:rFonts w:asciiTheme="majorBidi" w:hAnsiTheme="majorBidi" w:hint="cs"/>
          <w:szCs w:val="24"/>
          <w:rtl/>
        </w:rPr>
        <w:t xml:space="preserve">''ל </w:t>
      </w:r>
      <w:r w:rsidRPr="00590C35">
        <w:rPr>
          <w:rFonts w:asciiTheme="majorBidi" w:hAnsiTheme="majorBidi"/>
          <w:szCs w:val="24"/>
          <w:rtl/>
        </w:rPr>
        <w:t>עולה</w:t>
      </w:r>
      <w:r>
        <w:rPr>
          <w:rFonts w:asciiTheme="majorBidi" w:hAnsiTheme="majorBidi" w:hint="cs"/>
          <w:szCs w:val="24"/>
          <w:rtl/>
        </w:rPr>
        <w:t xml:space="preserve">, </w:t>
      </w:r>
      <w:r w:rsidRPr="00590C35">
        <w:rPr>
          <w:rFonts w:asciiTheme="majorBidi" w:hAnsiTheme="majorBidi"/>
          <w:szCs w:val="24"/>
          <w:rtl/>
        </w:rPr>
        <w:t xml:space="preserve">כי </w:t>
      </w:r>
      <w:r w:rsidRPr="00590C35">
        <w:rPr>
          <w:rFonts w:asciiTheme="majorBidi" w:hAnsiTheme="majorBidi" w:hint="cs"/>
          <w:szCs w:val="24"/>
          <w:rtl/>
        </w:rPr>
        <w:t>פרק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הזמן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 w:hint="cs"/>
          <w:szCs w:val="24"/>
          <w:rtl/>
        </w:rPr>
        <w:t>החולף עד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לאישור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תכנית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 w:hint="cs"/>
          <w:szCs w:val="24"/>
          <w:rtl/>
        </w:rPr>
        <w:t xml:space="preserve">מועדפת לדיור </w:t>
      </w:r>
      <w:proofErr w:type="spellStart"/>
      <w:r w:rsidRPr="00590C35">
        <w:rPr>
          <w:rFonts w:asciiTheme="majorBidi" w:hAnsiTheme="majorBidi" w:hint="cs"/>
          <w:szCs w:val="24"/>
          <w:rtl/>
        </w:rPr>
        <w:t>בותמ</w:t>
      </w:r>
      <w:proofErr w:type="spellEnd"/>
      <w:r w:rsidRPr="00590C35">
        <w:rPr>
          <w:rFonts w:asciiTheme="majorBidi" w:hAnsiTheme="majorBidi" w:hint="cs"/>
          <w:szCs w:val="24"/>
          <w:rtl/>
        </w:rPr>
        <w:t>''ל</w:t>
      </w:r>
      <w:r w:rsidRPr="00590C35">
        <w:rPr>
          <w:rFonts w:asciiTheme="majorBidi" w:hAnsiTheme="majorBidi"/>
          <w:szCs w:val="24"/>
          <w:rtl/>
        </w:rPr>
        <w:t xml:space="preserve"> קצר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 w:hint="cs"/>
          <w:szCs w:val="24"/>
          <w:rtl/>
        </w:rPr>
        <w:t>באופן מובהק מפרק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הזמן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 w:hint="cs"/>
          <w:szCs w:val="24"/>
          <w:rtl/>
        </w:rPr>
        <w:t xml:space="preserve">החולף עד </w:t>
      </w:r>
      <w:r w:rsidRPr="00590C35">
        <w:rPr>
          <w:rFonts w:asciiTheme="majorBidi" w:hAnsiTheme="majorBidi"/>
          <w:szCs w:val="24"/>
          <w:rtl/>
        </w:rPr>
        <w:t>לאישור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תכנית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במסלול</w:t>
      </w:r>
      <w:r w:rsidRPr="00590C35">
        <w:rPr>
          <w:rFonts w:asciiTheme="majorBidi" w:hAnsiTheme="majorBidi" w:hint="cs"/>
          <w:szCs w:val="24"/>
          <w:rtl/>
        </w:rPr>
        <w:t xml:space="preserve"> </w:t>
      </w:r>
      <w:r w:rsidRPr="00590C35">
        <w:rPr>
          <w:rFonts w:asciiTheme="majorBidi" w:hAnsiTheme="majorBidi"/>
          <w:szCs w:val="24"/>
          <w:rtl/>
        </w:rPr>
        <w:t>התכנוני</w:t>
      </w:r>
      <w:r w:rsidRPr="00590C35">
        <w:rPr>
          <w:rFonts w:asciiTheme="majorBidi" w:hAnsiTheme="majorBidi"/>
          <w:szCs w:val="24"/>
        </w:rPr>
        <w:t xml:space="preserve"> </w:t>
      </w:r>
      <w:r w:rsidRPr="00590C35">
        <w:rPr>
          <w:rFonts w:asciiTheme="majorBidi" w:hAnsiTheme="majorBidi"/>
          <w:szCs w:val="24"/>
          <w:rtl/>
        </w:rPr>
        <w:t>הרגיל</w:t>
      </w:r>
      <w:r w:rsidRPr="00590C35">
        <w:rPr>
          <w:rFonts w:asciiTheme="majorBidi" w:hAnsiTheme="majorBidi" w:hint="cs"/>
          <w:szCs w:val="24"/>
          <w:rtl/>
        </w:rPr>
        <w:t xml:space="preserve"> וכי חקיקתו של החוק אף הביאה לקיצור פרקי הזמן החולפים עד לאישור תכניות בוועדות המחוזיות השונות, זאת נוסף על </w:t>
      </w:r>
      <w:r w:rsidRPr="00590C35">
        <w:rPr>
          <w:rFonts w:asciiTheme="majorBidi" w:hAnsiTheme="majorBidi"/>
          <w:szCs w:val="24"/>
          <w:rtl/>
        </w:rPr>
        <w:t>הפחת</w:t>
      </w:r>
      <w:r w:rsidRPr="00590C35">
        <w:rPr>
          <w:rFonts w:asciiTheme="majorBidi" w:hAnsiTheme="majorBidi" w:hint="cs"/>
          <w:szCs w:val="24"/>
          <w:rtl/>
        </w:rPr>
        <w:t>ת</w:t>
      </w:r>
      <w:r>
        <w:rPr>
          <w:rFonts w:asciiTheme="majorBidi" w:hAnsiTheme="majorBidi" w:hint="cs"/>
          <w:szCs w:val="24"/>
          <w:rtl/>
        </w:rPr>
        <w:t xml:space="preserve"> </w:t>
      </w:r>
      <w:r w:rsidRPr="00590C35">
        <w:rPr>
          <w:rFonts w:asciiTheme="majorBidi" w:hAnsiTheme="majorBidi"/>
          <w:szCs w:val="24"/>
          <w:rtl/>
        </w:rPr>
        <w:t>העומס</w:t>
      </w:r>
      <w:r>
        <w:rPr>
          <w:rFonts w:asciiTheme="majorBidi" w:hAnsiTheme="majorBidi" w:hint="cs"/>
          <w:szCs w:val="24"/>
          <w:rtl/>
        </w:rPr>
        <w:t xml:space="preserve"> </w:t>
      </w:r>
      <w:r w:rsidRPr="00590C35">
        <w:rPr>
          <w:rFonts w:asciiTheme="majorBidi" w:hAnsiTheme="majorBidi"/>
          <w:szCs w:val="24"/>
          <w:rtl/>
        </w:rPr>
        <w:t>הרב</w:t>
      </w:r>
      <w:r w:rsidRPr="00590C35">
        <w:rPr>
          <w:rFonts w:asciiTheme="majorBidi" w:hAnsiTheme="majorBidi" w:hint="cs"/>
          <w:szCs w:val="24"/>
          <w:rtl/>
        </w:rPr>
        <w:t xml:space="preserve"> מ</w:t>
      </w:r>
      <w:r w:rsidRPr="00590C35">
        <w:rPr>
          <w:rFonts w:asciiTheme="majorBidi" w:hAnsiTheme="majorBidi"/>
          <w:szCs w:val="24"/>
          <w:rtl/>
        </w:rPr>
        <w:t>הוועדות</w:t>
      </w:r>
      <w:r>
        <w:rPr>
          <w:rFonts w:asciiTheme="majorBidi" w:hAnsiTheme="majorBidi" w:hint="cs"/>
          <w:szCs w:val="24"/>
          <w:rtl/>
        </w:rPr>
        <w:t xml:space="preserve"> </w:t>
      </w:r>
      <w:r w:rsidRPr="00590C35">
        <w:rPr>
          <w:rFonts w:asciiTheme="majorBidi" w:hAnsiTheme="majorBidi"/>
          <w:szCs w:val="24"/>
          <w:rtl/>
        </w:rPr>
        <w:t>המחוזיות</w:t>
      </w:r>
      <w:r>
        <w:rPr>
          <w:rFonts w:asciiTheme="majorBidi" w:hAnsiTheme="majorBidi" w:hint="cs"/>
          <w:szCs w:val="24"/>
          <w:rtl/>
        </w:rPr>
        <w:t>.</w:t>
      </w:r>
    </w:p>
    <w:p w:rsidR="001678E7" w:rsidRPr="00590C35" w:rsidRDefault="001678E7" w:rsidP="001678E7">
      <w:pPr>
        <w:autoSpaceDE w:val="0"/>
        <w:autoSpaceDN w:val="0"/>
        <w:adjustRightInd w:val="0"/>
        <w:spacing w:line="360" w:lineRule="auto"/>
        <w:ind w:left="84"/>
        <w:jc w:val="both"/>
        <w:rPr>
          <w:rFonts w:asciiTheme="majorBidi" w:hAnsiTheme="majorBidi"/>
          <w:szCs w:val="24"/>
          <w:rtl/>
        </w:rPr>
      </w:pPr>
    </w:p>
    <w:p w:rsidR="001678E7" w:rsidRDefault="001678E7" w:rsidP="001678E7">
      <w:pPr>
        <w:spacing w:line="360" w:lineRule="auto"/>
        <w:jc w:val="both"/>
      </w:pPr>
      <w:r w:rsidRPr="00590C35">
        <w:rPr>
          <w:rFonts w:hint="cs"/>
          <w:szCs w:val="24"/>
          <w:rtl/>
        </w:rPr>
        <w:t>לאור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האמור</w:t>
      </w:r>
      <w:r w:rsidRPr="00590C35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ו</w:t>
      </w:r>
      <w:r w:rsidRPr="00590C35">
        <w:rPr>
          <w:rFonts w:hint="cs"/>
          <w:szCs w:val="24"/>
          <w:rtl/>
        </w:rPr>
        <w:t>בשל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תרומתו</w:t>
      </w:r>
      <w:r w:rsidRPr="00590C35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המשמעותית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של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החוק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להגדלת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היצע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הדיור</w:t>
      </w:r>
      <w:r>
        <w:rPr>
          <w:rFonts w:hint="cs"/>
          <w:szCs w:val="24"/>
          <w:rtl/>
        </w:rPr>
        <w:t xml:space="preserve"> בישראל</w:t>
      </w:r>
      <w:r w:rsidRPr="00590C35">
        <w:rPr>
          <w:rFonts w:hint="cs"/>
          <w:szCs w:val="24"/>
          <w:rtl/>
        </w:rPr>
        <w:t xml:space="preserve">, </w:t>
      </w:r>
      <w:r>
        <w:rPr>
          <w:rFonts w:hint="cs"/>
          <w:szCs w:val="24"/>
          <w:rtl/>
        </w:rPr>
        <w:t>ו</w:t>
      </w:r>
      <w:r w:rsidRPr="00590C35">
        <w:rPr>
          <w:rFonts w:hint="cs"/>
          <w:szCs w:val="24"/>
          <w:rtl/>
        </w:rPr>
        <w:t>לאור הצורך החיוני שעודנו קיים באישור תכניות רחבות היקף למגורים</w:t>
      </w:r>
      <w:r w:rsidRPr="00590C35">
        <w:rPr>
          <w:szCs w:val="24"/>
          <w:rtl/>
        </w:rPr>
        <w:t xml:space="preserve">, </w:t>
      </w:r>
      <w:r>
        <w:rPr>
          <w:rFonts w:hint="cs"/>
          <w:szCs w:val="24"/>
          <w:rtl/>
        </w:rPr>
        <w:t>מוצע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ל</w:t>
      </w:r>
      <w:r>
        <w:rPr>
          <w:rFonts w:hint="cs"/>
          <w:szCs w:val="24"/>
          <w:rtl/>
        </w:rPr>
        <w:t>האריך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תוקפו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של</w:t>
      </w:r>
      <w:r w:rsidRPr="00590C35">
        <w:rPr>
          <w:szCs w:val="24"/>
          <w:rtl/>
        </w:rPr>
        <w:t xml:space="preserve"> </w:t>
      </w:r>
      <w:r w:rsidRPr="00590C35">
        <w:rPr>
          <w:rFonts w:hint="cs"/>
          <w:szCs w:val="24"/>
          <w:rtl/>
        </w:rPr>
        <w:t>החוק בשנה נוספת</w:t>
      </w:r>
      <w:r w:rsidRPr="00590C35">
        <w:rPr>
          <w:szCs w:val="24"/>
          <w:rtl/>
        </w:rPr>
        <w:t xml:space="preserve">, </w:t>
      </w:r>
      <w:r>
        <w:rPr>
          <w:rFonts w:hint="cs"/>
          <w:szCs w:val="24"/>
          <w:rtl/>
        </w:rPr>
        <w:t>בהתאם לסעיף 34(ב) לחוק, עד ליום 7 באוגוסט 2019</w:t>
      </w:r>
      <w:r w:rsidRPr="00590C35">
        <w:rPr>
          <w:szCs w:val="24"/>
          <w:rtl/>
        </w:rPr>
        <w:t>.</w:t>
      </w:r>
    </w:p>
    <w:sectPr w:rsidR="001678E7" w:rsidSect="00700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4B" w:rsidRDefault="00D3034B" w:rsidP="001678E7">
      <w:r>
        <w:separator/>
      </w:r>
    </w:p>
  </w:endnote>
  <w:endnote w:type="continuationSeparator" w:id="0">
    <w:p w:rsidR="00D3034B" w:rsidRDefault="00D3034B" w:rsidP="0016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4B" w:rsidRDefault="00D3034B" w:rsidP="001678E7">
      <w:r>
        <w:separator/>
      </w:r>
    </w:p>
  </w:footnote>
  <w:footnote w:type="continuationSeparator" w:id="0">
    <w:p w:rsidR="00D3034B" w:rsidRDefault="00D3034B" w:rsidP="001678E7">
      <w:r>
        <w:continuationSeparator/>
      </w:r>
    </w:p>
  </w:footnote>
  <w:footnote w:id="1">
    <w:p w:rsidR="001678E7" w:rsidRDefault="001678E7">
      <w:pPr>
        <w:pStyle w:val="a6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sz w:val="26"/>
          <w:rtl/>
        </w:rPr>
        <w:t xml:space="preserve">ס"ח </w:t>
      </w:r>
      <w:proofErr w:type="spellStart"/>
      <w:r>
        <w:rPr>
          <w:rFonts w:hint="cs"/>
          <w:sz w:val="26"/>
          <w:rtl/>
        </w:rPr>
        <w:t>התשע"ד</w:t>
      </w:r>
      <w:proofErr w:type="spellEnd"/>
      <w:r>
        <w:rPr>
          <w:rFonts w:hint="cs"/>
          <w:sz w:val="26"/>
          <w:rtl/>
        </w:rPr>
        <w:t>,</w:t>
      </w:r>
      <w:r>
        <w:rPr>
          <w:rFonts w:hint="cs"/>
          <w:rtl/>
        </w:rPr>
        <w:t xml:space="preserve"> עמ' 750.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502E"/>
    <w:multiLevelType w:val="hybridMultilevel"/>
    <w:tmpl w:val="58C6059C"/>
    <w:lvl w:ilvl="0" w:tplc="6EFE6BD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8"/>
    <w:rsid w:val="00015175"/>
    <w:rsid w:val="00040FDE"/>
    <w:rsid w:val="00092C6D"/>
    <w:rsid w:val="00106AF5"/>
    <w:rsid w:val="00131A4A"/>
    <w:rsid w:val="00146F41"/>
    <w:rsid w:val="001678E7"/>
    <w:rsid w:val="001D5223"/>
    <w:rsid w:val="00312AAE"/>
    <w:rsid w:val="004805B7"/>
    <w:rsid w:val="004B23F8"/>
    <w:rsid w:val="005047F1"/>
    <w:rsid w:val="005075E4"/>
    <w:rsid w:val="00536011"/>
    <w:rsid w:val="00700C2F"/>
    <w:rsid w:val="00702EC1"/>
    <w:rsid w:val="007433D9"/>
    <w:rsid w:val="007549EF"/>
    <w:rsid w:val="00754E68"/>
    <w:rsid w:val="007D291A"/>
    <w:rsid w:val="00813A61"/>
    <w:rsid w:val="00991132"/>
    <w:rsid w:val="009E0C8D"/>
    <w:rsid w:val="00A162A7"/>
    <w:rsid w:val="00BE4268"/>
    <w:rsid w:val="00C55B32"/>
    <w:rsid w:val="00CE0A9C"/>
    <w:rsid w:val="00CE2F04"/>
    <w:rsid w:val="00CF374C"/>
    <w:rsid w:val="00D3034B"/>
    <w:rsid w:val="00DB063A"/>
    <w:rsid w:val="00E330E8"/>
    <w:rsid w:val="00E92AF1"/>
    <w:rsid w:val="00ED64A6"/>
    <w:rsid w:val="00EE68E7"/>
    <w:rsid w:val="00EF3EF9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A09C6-18C6-4D07-9D13-4C75628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68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3F8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B23F8"/>
    <w:rPr>
      <w:rFonts w:ascii="Tahoma" w:eastAsia="Times New Roman" w:hAnsi="Tahoma" w:cs="Tahoma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1678E7"/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1678E7"/>
    <w:rPr>
      <w:rFonts w:ascii="Times New Roman" w:eastAsia="Times New Roman" w:hAnsi="Times New Roman" w:cs="David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7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61B5BAE19C0A94ABF7F052772C71F14" ma:contentTypeVersion="1" ma:contentTypeDescription="צור מסמך חדש." ma:contentTypeScope="" ma:versionID="4c4e7c02a57e54f45d23c2b2cc14d8d5">
  <xsd:schema xmlns:xsd="http://www.w3.org/2001/XMLSchema" xmlns:p="http://schemas.microsoft.com/office/2006/metadata/properties" xmlns:ns2="d2589617-2f74-4077-aee7-f516ed639388" targetNamespace="http://schemas.microsoft.com/office/2006/metadata/properties" ma:root="true" ma:fieldsID="07cad186b484ecc037a0bd5112bdf38e" ns2:_="">
    <xsd:import namespace="d2589617-2f74-4077-aee7-f516ed639388"/>
    <xsd:element name="properties">
      <xsd:complexType>
        <xsd:sequence>
          <xsd:element name="documentManagement">
            <xsd:complexType>
              <xsd:all>
                <xsd:element ref="ns2:Ref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2589617-2f74-4077-aee7-f516ed639388" elementFormDefault="qualified">
    <xsd:import namespace="http://schemas.microsoft.com/office/2006/documentManagement/types"/>
    <xsd:element name="RefNumber" ma:index="8" nillable="true" ma:displayName="RefNumber" ma:description="מס' טופס" ma:internalName="Ref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fNumber xmlns="d2589617-2f74-4077-aee7-f516ed639388">43840</RefNumber>
  </documentManagement>
</p:properties>
</file>

<file path=customXml/itemProps1.xml><?xml version="1.0" encoding="utf-8"?>
<ds:datastoreItem xmlns:ds="http://schemas.openxmlformats.org/officeDocument/2006/customXml" ds:itemID="{304F5B78-223D-406D-A424-906A4CB9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89617-2f74-4077-aee7-f516ed6393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904B90-67E9-4E0B-AC64-199AE8CD7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C8B8B-A729-4E02-9A2E-E8DF4781A11C}">
  <ds:schemaRefs>
    <ds:schemaRef ds:uri="http://schemas.microsoft.com/office/2006/metadata/properties"/>
    <ds:schemaRef ds:uri="d2589617-2f74-4077-aee7-f516ed6393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להעלות אריאל ותמל.docx</vt:lpstr>
    </vt:vector>
  </TitlesOfParts>
  <Company>RMI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להעלות אריאל ותמל.docx</dc:title>
  <dc:creator>LEINAVR</dc:creator>
  <cp:lastModifiedBy>dalia</cp:lastModifiedBy>
  <cp:revision>2</cp:revision>
  <cp:lastPrinted>2017-01-16T12:52:00Z</cp:lastPrinted>
  <dcterms:created xsi:type="dcterms:W3CDTF">2018-02-13T08:36:00Z</dcterms:created>
  <dcterms:modified xsi:type="dcterms:W3CDTF">2018-02-13T08:36:00Z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0x010100161B5BAE19C0A94ABF7F052772C71F14</vt:lpwstr>
  </property>
</Properties>
</file>