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52" w:rsidRDefault="00AC5E52" w:rsidP="0043477B">
      <w:pPr>
        <w:ind w:left="7371" w:firstLine="0"/>
        <w:jc w:val="left"/>
        <w:rPr>
          <w:rFonts w:cs="David"/>
          <w:sz w:val="26"/>
          <w:szCs w:val="26"/>
          <w:rtl/>
        </w:rPr>
      </w:pPr>
      <w:bookmarkStart w:id="0" w:name="Date"/>
      <w:bookmarkStart w:id="1" w:name="_GoBack"/>
      <w:bookmarkEnd w:id="0"/>
      <w:bookmarkEnd w:id="1"/>
      <w:r>
        <w:rPr>
          <w:rFonts w:cs="David"/>
          <w:sz w:val="26"/>
          <w:szCs w:val="26"/>
          <w:rtl/>
        </w:rPr>
        <w:t>י"ח בכסלו התשע"ד</w:t>
      </w:r>
      <w:r>
        <w:rPr>
          <w:rFonts w:cs="David"/>
          <w:sz w:val="26"/>
          <w:szCs w:val="26"/>
          <w:rtl/>
        </w:rPr>
        <w:br/>
        <w:t>21 בנובמבר 2013</w:t>
      </w:r>
    </w:p>
    <w:p w:rsidR="00AC5E52" w:rsidRDefault="00AC5E52" w:rsidP="0043477B">
      <w:pPr>
        <w:ind w:left="7371" w:firstLine="0"/>
        <w:jc w:val="left"/>
        <w:rPr>
          <w:rFonts w:cs="David"/>
          <w:sz w:val="26"/>
          <w:szCs w:val="26"/>
          <w:rtl/>
        </w:rPr>
      </w:pPr>
      <w:bookmarkStart w:id="2" w:name="DocNum"/>
      <w:bookmarkEnd w:id="2"/>
      <w:r>
        <w:rPr>
          <w:rFonts w:cs="David"/>
          <w:sz w:val="26"/>
          <w:szCs w:val="26"/>
          <w:rtl/>
        </w:rPr>
        <w:t>המ. 2013-2527</w:t>
      </w:r>
    </w:p>
    <w:p w:rsidR="00B9059E" w:rsidRPr="00B9059E" w:rsidRDefault="00B9059E" w:rsidP="00B9059E">
      <w:pPr>
        <w:pStyle w:val="HeadDivreiHesber"/>
        <w:numPr>
          <w:ilvl w:val="0"/>
          <w:numId w:val="9"/>
        </w:numPr>
        <w:tabs>
          <w:tab w:val="left" w:pos="567"/>
        </w:tabs>
        <w:ind w:left="283" w:hanging="283"/>
        <w:jc w:val="both"/>
        <w:rPr>
          <w:b w:val="0"/>
          <w:bCs/>
          <w:sz w:val="26"/>
          <w:u w:val="single"/>
          <w:rtl/>
        </w:rPr>
      </w:pPr>
      <w:r w:rsidRPr="00B9059E">
        <w:rPr>
          <w:rFonts w:hint="cs"/>
          <w:b w:val="0"/>
          <w:bCs/>
          <w:sz w:val="26"/>
          <w:u w:val="single"/>
          <w:rtl/>
        </w:rPr>
        <w:t>שם החוק המוצע</w:t>
      </w:r>
    </w:p>
    <w:p w:rsidR="00B9059E" w:rsidRPr="00B9059E" w:rsidRDefault="00B9059E" w:rsidP="00B9059E">
      <w:pPr>
        <w:pStyle w:val="HeadHatzaotHok"/>
        <w:keepNext w:val="0"/>
        <w:keepLines w:val="0"/>
        <w:jc w:val="both"/>
        <w:rPr>
          <w:b w:val="0"/>
          <w:bCs w:val="0"/>
          <w:sz w:val="26"/>
          <w:rtl/>
        </w:rPr>
      </w:pPr>
      <w:r w:rsidRPr="00B9059E">
        <w:rPr>
          <w:b w:val="0"/>
          <w:bCs w:val="0"/>
          <w:sz w:val="26"/>
          <w:rtl/>
        </w:rPr>
        <w:t>חו</w:t>
      </w:r>
      <w:r w:rsidRPr="00B9059E">
        <w:rPr>
          <w:rFonts w:hint="cs"/>
          <w:b w:val="0"/>
          <w:bCs w:val="0"/>
          <w:sz w:val="26"/>
          <w:rtl/>
        </w:rPr>
        <w:t xml:space="preserve">ק לתיקון </w:t>
      </w:r>
      <w:r>
        <w:rPr>
          <w:rFonts w:hint="cs"/>
          <w:b w:val="0"/>
          <w:bCs w:val="0"/>
          <w:sz w:val="26"/>
          <w:rtl/>
        </w:rPr>
        <w:t xml:space="preserve">חוק </w:t>
      </w:r>
      <w:r w:rsidRPr="00B9059E">
        <w:rPr>
          <w:rFonts w:hint="cs"/>
          <w:b w:val="0"/>
          <w:bCs w:val="0"/>
          <w:sz w:val="26"/>
          <w:rtl/>
        </w:rPr>
        <w:t>מיסוי מקרקעין (שבח ורכישה),(תיקון מס') התשע"ד-2013</w:t>
      </w:r>
      <w:r w:rsidR="00AC5E52">
        <w:rPr>
          <w:rFonts w:hint="cs"/>
          <w:b w:val="0"/>
          <w:bCs w:val="0"/>
          <w:sz w:val="26"/>
          <w:rtl/>
        </w:rPr>
        <w:t>.</w:t>
      </w:r>
    </w:p>
    <w:p w:rsidR="00B9059E" w:rsidRPr="00B9059E" w:rsidRDefault="00B9059E" w:rsidP="00B9059E">
      <w:pPr>
        <w:pStyle w:val="HeadHatzaotHok"/>
        <w:keepNext w:val="0"/>
        <w:keepLines w:val="0"/>
        <w:numPr>
          <w:ilvl w:val="0"/>
          <w:numId w:val="9"/>
        </w:numPr>
        <w:tabs>
          <w:tab w:val="left" w:pos="567"/>
        </w:tabs>
        <w:ind w:hanging="720"/>
        <w:jc w:val="both"/>
        <w:rPr>
          <w:sz w:val="26"/>
          <w:u w:val="single"/>
          <w:rtl/>
        </w:rPr>
      </w:pPr>
      <w:r w:rsidRPr="00B9059E">
        <w:rPr>
          <w:rFonts w:hint="cs"/>
          <w:sz w:val="26"/>
          <w:u w:val="single"/>
          <w:rtl/>
        </w:rPr>
        <w:t>עיקרי החוק המוצע והצורך בו</w:t>
      </w:r>
    </w:p>
    <w:p w:rsidR="00B9059E" w:rsidRPr="00B9059E" w:rsidRDefault="00B9059E" w:rsidP="00B9059E">
      <w:pPr>
        <w:pStyle w:val="HeadDivreiHesber"/>
        <w:jc w:val="both"/>
        <w:rPr>
          <w:b w:val="0"/>
          <w:bCs/>
          <w:sz w:val="26"/>
          <w:u w:val="single"/>
          <w:rtl/>
        </w:rPr>
      </w:pPr>
      <w:r w:rsidRPr="00B9059E">
        <w:rPr>
          <w:rFonts w:hint="cs"/>
          <w:b w:val="0"/>
          <w:bCs/>
          <w:sz w:val="26"/>
          <w:u w:val="single"/>
          <w:rtl/>
        </w:rPr>
        <w:t xml:space="preserve">כללי </w:t>
      </w:r>
    </w:p>
    <w:p w:rsidR="00B9059E" w:rsidRPr="00B9059E" w:rsidRDefault="00B9059E" w:rsidP="00B9059E">
      <w:pPr>
        <w:pStyle w:val="HeadDivreiHesber"/>
        <w:jc w:val="both"/>
        <w:rPr>
          <w:sz w:val="26"/>
          <w:rtl/>
        </w:rPr>
      </w:pPr>
      <w:r w:rsidRPr="00B9059E">
        <w:rPr>
          <w:rFonts w:hint="cs"/>
          <w:sz w:val="26"/>
          <w:rtl/>
        </w:rPr>
        <w:t xml:space="preserve">בתיקון מס' 70 לחוק מיסוי מקרקעין (שבח ורכישה), התשכ"ג </w:t>
      </w:r>
      <w:r w:rsidRPr="00B9059E">
        <w:rPr>
          <w:sz w:val="26"/>
          <w:rtl/>
        </w:rPr>
        <w:t>–</w:t>
      </w:r>
      <w:r w:rsidRPr="00B9059E">
        <w:rPr>
          <w:rFonts w:hint="cs"/>
          <w:sz w:val="26"/>
          <w:rtl/>
        </w:rPr>
        <w:t xml:space="preserve"> 1963 להלן </w:t>
      </w:r>
      <w:r w:rsidRPr="00B9059E">
        <w:rPr>
          <w:sz w:val="26"/>
          <w:rtl/>
        </w:rPr>
        <w:t>–</w:t>
      </w:r>
      <w:r w:rsidRPr="00B9059E">
        <w:rPr>
          <w:rFonts w:hint="cs"/>
          <w:b w:val="0"/>
          <w:bCs/>
          <w:sz w:val="26"/>
          <w:rtl/>
        </w:rPr>
        <w:t>החוק</w:t>
      </w:r>
      <w:r w:rsidRPr="00B9059E">
        <w:rPr>
          <w:rFonts w:hint="cs"/>
          <w:sz w:val="26"/>
          <w:rtl/>
        </w:rPr>
        <w:t xml:space="preserve">) </w:t>
      </w:r>
      <w:r>
        <w:rPr>
          <w:rFonts w:hint="cs"/>
          <w:sz w:val="26"/>
          <w:rtl/>
        </w:rPr>
        <w:t>נו</w:t>
      </w:r>
      <w:r w:rsidRPr="00B9059E">
        <w:rPr>
          <w:rFonts w:hint="cs"/>
          <w:sz w:val="26"/>
          <w:rtl/>
        </w:rPr>
        <w:t>ספו סעיפים 15(ב) עד (ה) לחוק, לפיהם נקבע מנגנון המטיל על רוכש זכות במקרקעין חובת תשלום מקדמה על חשבון מס השבח שבו חייב המוכר (להלן-</w:t>
      </w:r>
      <w:r w:rsidRPr="00B9059E">
        <w:rPr>
          <w:rFonts w:hint="cs"/>
          <w:b w:val="0"/>
          <w:bCs/>
          <w:sz w:val="26"/>
          <w:rtl/>
        </w:rPr>
        <w:t>המקדמה</w:t>
      </w:r>
      <w:r w:rsidRPr="00B9059E">
        <w:rPr>
          <w:rFonts w:hint="cs"/>
          <w:sz w:val="26"/>
          <w:rtl/>
        </w:rPr>
        <w:t>).</w:t>
      </w:r>
    </w:p>
    <w:p w:rsidR="00B9059E" w:rsidRPr="00B9059E" w:rsidRDefault="00B9059E" w:rsidP="00B9059E">
      <w:pPr>
        <w:pStyle w:val="HeadDivreiHesber"/>
        <w:jc w:val="both"/>
        <w:rPr>
          <w:sz w:val="26"/>
          <w:rtl/>
        </w:rPr>
      </w:pPr>
      <w:r w:rsidRPr="00B9059E">
        <w:rPr>
          <w:rFonts w:hint="cs"/>
          <w:sz w:val="26"/>
          <w:rtl/>
        </w:rPr>
        <w:t>בהתאם למנגנון שנקבע בסעיפים האמורים, עם תשלום המקדמה על-ידי הרוכש, יוכל הרוכש לקבל אישור לענין מס שבח לרישום הזכויות שרכש על שמו בפנקס המקרקעין.</w:t>
      </w:r>
    </w:p>
    <w:p w:rsidR="00B9059E" w:rsidRPr="00B9059E" w:rsidRDefault="00B9059E" w:rsidP="00B9059E">
      <w:pPr>
        <w:pStyle w:val="HeadDivreiHesber"/>
        <w:jc w:val="both"/>
        <w:rPr>
          <w:sz w:val="26"/>
          <w:rtl/>
        </w:rPr>
      </w:pPr>
      <w:r w:rsidRPr="00B9059E">
        <w:rPr>
          <w:rFonts w:hint="cs"/>
          <w:sz w:val="26"/>
          <w:rtl/>
        </w:rPr>
        <w:t xml:space="preserve">מנגנון המקדמה היווה כלי חדשני אשר זרז את מתן האישורים לרישום הזכויות בפנקסי המקרקעין, אולם עורר ביקורת לענין יישום התהליך. </w:t>
      </w:r>
    </w:p>
    <w:p w:rsidR="00B9059E" w:rsidRPr="00B9059E" w:rsidRDefault="00B9059E" w:rsidP="00B9059E">
      <w:pPr>
        <w:pStyle w:val="HeadDivreiHesber"/>
        <w:jc w:val="both"/>
        <w:rPr>
          <w:sz w:val="26"/>
          <w:rtl/>
        </w:rPr>
      </w:pPr>
      <w:r w:rsidRPr="00B9059E">
        <w:rPr>
          <w:rFonts w:hint="cs"/>
          <w:sz w:val="26"/>
          <w:rtl/>
        </w:rPr>
        <w:t>בעקבות זאת, הוחלט במסגרת החוק לשינוי נטל המס (תיקוני חקיקה), התשע"ב-2011</w:t>
      </w:r>
      <w:r w:rsidRPr="00B9059E">
        <w:rPr>
          <w:rStyle w:val="a6"/>
          <w:sz w:val="26"/>
          <w:rtl/>
        </w:rPr>
        <w:footnoteReference w:id="2"/>
      </w:r>
      <w:r w:rsidRPr="00B9059E">
        <w:rPr>
          <w:rFonts w:hint="cs"/>
          <w:sz w:val="26"/>
          <w:rtl/>
        </w:rPr>
        <w:t xml:space="preserve">, </w:t>
      </w:r>
      <w:r>
        <w:rPr>
          <w:rFonts w:hint="cs"/>
          <w:sz w:val="26"/>
          <w:rtl/>
        </w:rPr>
        <w:t xml:space="preserve">(להלן </w:t>
      </w:r>
      <w:r>
        <w:rPr>
          <w:sz w:val="26"/>
          <w:rtl/>
        </w:rPr>
        <w:t>–</w:t>
      </w:r>
      <w:r>
        <w:rPr>
          <w:rFonts w:hint="cs"/>
          <w:sz w:val="26"/>
          <w:rtl/>
        </w:rPr>
        <w:t xml:space="preserve"> החוק לשינוי נטל המס) </w:t>
      </w:r>
      <w:r w:rsidRPr="00B9059E">
        <w:rPr>
          <w:rFonts w:hint="cs"/>
          <w:sz w:val="26"/>
          <w:rtl/>
        </w:rPr>
        <w:t xml:space="preserve">לתחום את תוקפם של סעיפים 15(ב) עד(ה) לחוק עד לתאריך ה </w:t>
      </w:r>
      <w:r w:rsidRPr="00B9059E">
        <w:rPr>
          <w:sz w:val="26"/>
          <w:rtl/>
        </w:rPr>
        <w:t>–</w:t>
      </w:r>
      <w:r w:rsidRPr="00B9059E">
        <w:rPr>
          <w:rFonts w:hint="cs"/>
          <w:sz w:val="26"/>
          <w:rtl/>
        </w:rPr>
        <w:t xml:space="preserve"> 1 באפריל 2013, זאת על מנת לאפשר לשר האוצר ולרשות המסים (להלן-הרשות) לעמוד על הבעיות ולתקן את הדרוש . </w:t>
      </w:r>
    </w:p>
    <w:p w:rsidR="00B9059E" w:rsidRPr="00B9059E" w:rsidRDefault="00B9059E" w:rsidP="00B9059E">
      <w:pPr>
        <w:pStyle w:val="HeadDivreiHesber"/>
        <w:jc w:val="both"/>
        <w:rPr>
          <w:sz w:val="26"/>
          <w:rtl/>
        </w:rPr>
      </w:pPr>
      <w:r w:rsidRPr="00B9059E">
        <w:rPr>
          <w:rFonts w:hint="cs"/>
          <w:sz w:val="26"/>
          <w:rtl/>
        </w:rPr>
        <w:t xml:space="preserve">בנוסף, במסגרת סעיף 9(ב) לחוק לשינוי נטל המס, ניתנה האפשרות לשר האוצר, באישור ועדת הכספים של הכנסת, להאריך את תוקפם של סעיפים 15(ב) עד(ה) בצו לתקופות נוספות (בדרך של דחיית ביטולם). </w:t>
      </w:r>
    </w:p>
    <w:p w:rsidR="00B9059E" w:rsidRPr="00B9059E" w:rsidRDefault="00B9059E" w:rsidP="00B9059E">
      <w:pPr>
        <w:pStyle w:val="HeadDivreiHesber"/>
        <w:jc w:val="both"/>
        <w:rPr>
          <w:sz w:val="26"/>
        </w:rPr>
      </w:pPr>
      <w:r w:rsidRPr="00B9059E">
        <w:rPr>
          <w:rFonts w:hint="cs"/>
          <w:sz w:val="26"/>
          <w:rtl/>
        </w:rPr>
        <w:t xml:space="preserve">שר האוצר האריך את תחולתם של סעיפים 15 (ב) עד(ה) לחוק פעמיים, באמצעות צו לשינוי נטל המס(תיקוני חקיקה)(דחיית מועד לעניין סעיף 15 לחוק מיסוי מקרקעין (שבח ורכישה)), התשע"ג </w:t>
      </w:r>
      <w:r w:rsidRPr="00B9059E">
        <w:rPr>
          <w:sz w:val="26"/>
          <w:rtl/>
        </w:rPr>
        <w:t>–</w:t>
      </w:r>
      <w:r w:rsidRPr="00B9059E">
        <w:rPr>
          <w:rFonts w:hint="cs"/>
          <w:sz w:val="26"/>
          <w:rtl/>
        </w:rPr>
        <w:t xml:space="preserve"> 2013</w:t>
      </w:r>
      <w:r w:rsidRPr="00B9059E">
        <w:rPr>
          <w:sz w:val="26"/>
          <w:rtl/>
        </w:rPr>
        <w:footnoteReference w:id="3"/>
      </w:r>
      <w:r w:rsidRPr="00B9059E">
        <w:rPr>
          <w:rFonts w:hint="cs"/>
          <w:sz w:val="26"/>
          <w:rtl/>
        </w:rPr>
        <w:t xml:space="preserve">, עד לתאריך ה- 1 בינואר 2014. </w:t>
      </w:r>
    </w:p>
    <w:p w:rsidR="00B9059E" w:rsidRPr="00B9059E" w:rsidRDefault="00B9059E" w:rsidP="00B9059E">
      <w:pPr>
        <w:pStyle w:val="HeadDivreiHesber"/>
        <w:jc w:val="both"/>
        <w:rPr>
          <w:sz w:val="26"/>
          <w:rtl/>
        </w:rPr>
      </w:pPr>
      <w:r w:rsidRPr="00B9059E">
        <w:rPr>
          <w:rFonts w:hint="cs"/>
          <w:sz w:val="26"/>
          <w:rtl/>
        </w:rPr>
        <w:lastRenderedPageBreak/>
        <w:t xml:space="preserve">בעקבות יישום חובת תשלום המקדמות ע"י הרוכש, התקצר זמן הנפקת אישור תשלום מס שבח לרוכש בצורה דרמטית, דבר המאפשר לרוכש להשלים את העסקה ולרשום את זכויותיו בפנקס המקרקעין תוך פרק זמן קצר משמעותית מבעבר. יודגש כי הנפקת האישור תוך פרק זמן קצר מגשימה את החלטת הממשלה מס' 2054 (מיום ה- 15 ביולי 2010), בנושא ייעול תהליכי עשיית עסקים וייעול תהליך רישום נכסים. </w:t>
      </w:r>
    </w:p>
    <w:p w:rsidR="00B9059E" w:rsidRPr="00B9059E" w:rsidRDefault="00B9059E" w:rsidP="0027049A">
      <w:pPr>
        <w:pStyle w:val="HeadDivreiHesber"/>
        <w:jc w:val="both"/>
        <w:rPr>
          <w:sz w:val="26"/>
          <w:rtl/>
        </w:rPr>
      </w:pPr>
      <w:r w:rsidRPr="00B9059E">
        <w:rPr>
          <w:rFonts w:hint="cs"/>
          <w:sz w:val="26"/>
          <w:rtl/>
        </w:rPr>
        <w:t xml:space="preserve">הצעת חוק זו באה לעגן את הסדר תשלום המקדמות ע"י הרוכש ולשמר את היתרונות שנוצרו מיישום המתווה הקודם  ומאידך באה לתת מענה לביקורת שהתעוררה עם הזמן בנושאים השונים, וזאת תוך מתן פיתרון ומענה הולם לבעיות אלו. </w:t>
      </w:r>
    </w:p>
    <w:p w:rsidR="00B9059E" w:rsidRPr="00B9059E" w:rsidRDefault="00B9059E" w:rsidP="00B9059E">
      <w:pPr>
        <w:spacing w:line="240" w:lineRule="auto"/>
        <w:ind w:firstLine="0"/>
        <w:rPr>
          <w:rFonts w:cs="David"/>
          <w:sz w:val="26"/>
          <w:szCs w:val="26"/>
          <w:rtl/>
        </w:rPr>
      </w:pPr>
    </w:p>
    <w:p w:rsidR="00B9059E" w:rsidRPr="00B9059E" w:rsidRDefault="00B9059E" w:rsidP="00B9059E">
      <w:pPr>
        <w:pStyle w:val="HeadDivreiHesber"/>
        <w:spacing w:line="240" w:lineRule="auto"/>
        <w:jc w:val="both"/>
        <w:rPr>
          <w:b w:val="0"/>
          <w:bCs/>
          <w:sz w:val="26"/>
          <w:u w:val="single"/>
          <w:rtl/>
        </w:rPr>
      </w:pPr>
      <w:r w:rsidRPr="00B9059E">
        <w:rPr>
          <w:rFonts w:hint="eastAsia"/>
          <w:b w:val="0"/>
          <w:bCs/>
          <w:sz w:val="26"/>
          <w:u w:val="single"/>
          <w:rtl/>
        </w:rPr>
        <w:t>לפסקה</w:t>
      </w:r>
      <w:r w:rsidRPr="00B9059E">
        <w:rPr>
          <w:b w:val="0"/>
          <w:bCs/>
          <w:sz w:val="26"/>
          <w:u w:val="single"/>
          <w:rtl/>
        </w:rPr>
        <w:t xml:space="preserve"> 1(</w:t>
      </w:r>
      <w:r w:rsidRPr="00B9059E">
        <w:rPr>
          <w:rFonts w:hint="cs"/>
          <w:b w:val="0"/>
          <w:bCs/>
          <w:sz w:val="26"/>
          <w:u w:val="single"/>
          <w:rtl/>
        </w:rPr>
        <w:t>2</w:t>
      </w:r>
      <w:r w:rsidRPr="00B9059E">
        <w:rPr>
          <w:b w:val="0"/>
          <w:bCs/>
          <w:sz w:val="26"/>
          <w:u w:val="single"/>
          <w:rtl/>
        </w:rPr>
        <w:t>)</w:t>
      </w:r>
    </w:p>
    <w:p w:rsidR="00B9059E" w:rsidRPr="00B9059E" w:rsidRDefault="00B9059E" w:rsidP="00B9059E">
      <w:pPr>
        <w:pStyle w:val="HeadDivreiHesber"/>
        <w:jc w:val="both"/>
        <w:rPr>
          <w:sz w:val="26"/>
          <w:rtl/>
        </w:rPr>
      </w:pPr>
      <w:r w:rsidRPr="00B9059E">
        <w:rPr>
          <w:rFonts w:hint="cs"/>
          <w:sz w:val="26"/>
          <w:rtl/>
        </w:rPr>
        <w:t>מכיוון ששיעור מס שבח החל על חברות הינו בהתאם לסעיף 126(א) לפקודת מס הכנסה(נוסח חדש) ה</w:t>
      </w:r>
      <w:r>
        <w:rPr>
          <w:rFonts w:hint="cs"/>
          <w:sz w:val="26"/>
          <w:rtl/>
        </w:rPr>
        <w:t>ת</w:t>
      </w:r>
      <w:r w:rsidRPr="00B9059E">
        <w:rPr>
          <w:rFonts w:hint="cs"/>
          <w:sz w:val="26"/>
          <w:rtl/>
        </w:rPr>
        <w:t>שכ"א-1961 (להלן - הפקודה), זאת ללא חלוקה לינארית של השבח</w:t>
      </w:r>
      <w:r>
        <w:rPr>
          <w:rFonts w:hint="cs"/>
          <w:sz w:val="26"/>
          <w:rtl/>
        </w:rPr>
        <w:t>,</w:t>
      </w:r>
      <w:r w:rsidRPr="00B9059E">
        <w:rPr>
          <w:rFonts w:hint="cs"/>
          <w:sz w:val="26"/>
          <w:rtl/>
        </w:rPr>
        <w:t xml:space="preserve"> כפי שקיים אצל מוכר שהינו יחיד, מוצע לקבוע כי המקדמה שתחול על חבר בני אדם תהא בשיעור של 7.5%. </w:t>
      </w:r>
    </w:p>
    <w:p w:rsidR="00B9059E" w:rsidRPr="00B9059E" w:rsidRDefault="00B9059E" w:rsidP="00B9059E">
      <w:pPr>
        <w:pStyle w:val="HeadDivreiHesber"/>
        <w:jc w:val="both"/>
        <w:rPr>
          <w:b w:val="0"/>
          <w:bCs/>
          <w:sz w:val="26"/>
          <w:u w:val="single"/>
          <w:rtl/>
        </w:rPr>
      </w:pPr>
      <w:r w:rsidRPr="00B9059E">
        <w:rPr>
          <w:rFonts w:hint="eastAsia"/>
          <w:b w:val="0"/>
          <w:bCs/>
          <w:sz w:val="26"/>
          <w:u w:val="single"/>
          <w:rtl/>
        </w:rPr>
        <w:t>לפסקה</w:t>
      </w:r>
      <w:r w:rsidRPr="00B9059E">
        <w:rPr>
          <w:b w:val="0"/>
          <w:bCs/>
          <w:sz w:val="26"/>
          <w:u w:val="single"/>
          <w:rtl/>
        </w:rPr>
        <w:t>1(</w:t>
      </w:r>
      <w:r w:rsidRPr="00B9059E">
        <w:rPr>
          <w:rFonts w:hint="cs"/>
          <w:b w:val="0"/>
          <w:bCs/>
          <w:sz w:val="26"/>
          <w:u w:val="single"/>
          <w:rtl/>
        </w:rPr>
        <w:t>3</w:t>
      </w:r>
      <w:r w:rsidRPr="00B9059E">
        <w:rPr>
          <w:b w:val="0"/>
          <w:bCs/>
          <w:sz w:val="26"/>
          <w:u w:val="single"/>
          <w:rtl/>
        </w:rPr>
        <w:t>)</w:t>
      </w:r>
    </w:p>
    <w:p w:rsidR="00B9059E" w:rsidRPr="00B9059E" w:rsidRDefault="00B9059E" w:rsidP="00B9059E">
      <w:pPr>
        <w:pStyle w:val="HeadDivreiHesber"/>
        <w:jc w:val="both"/>
        <w:rPr>
          <w:sz w:val="26"/>
          <w:rtl/>
        </w:rPr>
      </w:pPr>
      <w:r w:rsidRPr="00B9059E">
        <w:rPr>
          <w:rFonts w:hint="cs"/>
          <w:sz w:val="26"/>
          <w:rtl/>
        </w:rPr>
        <w:t xml:space="preserve">לעיתים הרוכש מעביר כבר במועד החתימה או בסמוך לכך </w:t>
      </w:r>
      <w:r>
        <w:rPr>
          <w:rFonts w:hint="cs"/>
          <w:sz w:val="26"/>
          <w:rtl/>
        </w:rPr>
        <w:t>מקדמה</w:t>
      </w:r>
      <w:r w:rsidRPr="00B9059E">
        <w:rPr>
          <w:rFonts w:hint="cs"/>
          <w:sz w:val="26"/>
          <w:rtl/>
        </w:rPr>
        <w:t>. בכדי למנוע מצב של דיווח על מקדמה בטרם המוכר דיווח על המכירה, מוצע כי המועד לדיווח על המקדמה יהיה המאוחר מבין העברת תשלום מעבר ל- 40% מהתמורה או שישים ימים מיום המכירה.</w:t>
      </w:r>
    </w:p>
    <w:p w:rsidR="00B9059E" w:rsidRPr="00B9059E" w:rsidRDefault="00B9059E" w:rsidP="00B9059E">
      <w:pPr>
        <w:pStyle w:val="HeadDivreiHesber"/>
        <w:jc w:val="both"/>
        <w:rPr>
          <w:sz w:val="26"/>
          <w:rtl/>
        </w:rPr>
      </w:pPr>
      <w:r w:rsidRPr="00B9059E">
        <w:rPr>
          <w:rFonts w:hint="cs"/>
          <w:sz w:val="26"/>
          <w:rtl/>
        </w:rPr>
        <w:t xml:space="preserve">כמו כן,כאשר מכירת הזכות במקרקעין או פעולה באיגוד במקרקעין נתונות למיסוי על פי חלק ב' לפקודה, הרי שהמוכר יהא זכאי לפטור ממס שבח בהמציאו אישור מאת פקיד השומה בהתאם לסעיף 50 לחוק. על מנת ליתן למוכר שהות מספקת להמציא את האישור כאמור, מוצע לקבוע כי המקדמה תועבר רק לאחר תשלום של 80% מהתמורה, ובמקביל לבטל את הוראת סעיף 15(ד)(5)לחוק.    </w:t>
      </w:r>
    </w:p>
    <w:p w:rsidR="00AC5E52" w:rsidRDefault="00AC5E52" w:rsidP="00B9059E">
      <w:pPr>
        <w:pStyle w:val="HeadDivreiHesber"/>
        <w:jc w:val="both"/>
        <w:rPr>
          <w:b w:val="0"/>
          <w:bCs/>
          <w:sz w:val="26"/>
          <w:u w:val="single"/>
          <w:rtl/>
        </w:rPr>
      </w:pPr>
    </w:p>
    <w:p w:rsidR="00AC5E52" w:rsidRDefault="00AC5E52" w:rsidP="00B9059E">
      <w:pPr>
        <w:pStyle w:val="HeadDivreiHesber"/>
        <w:jc w:val="both"/>
        <w:rPr>
          <w:b w:val="0"/>
          <w:bCs/>
          <w:sz w:val="26"/>
          <w:u w:val="single"/>
          <w:rtl/>
        </w:rPr>
      </w:pPr>
    </w:p>
    <w:p w:rsidR="00AC5E52" w:rsidRDefault="00AC5E52" w:rsidP="00B9059E">
      <w:pPr>
        <w:pStyle w:val="HeadDivreiHesber"/>
        <w:jc w:val="both"/>
        <w:rPr>
          <w:b w:val="0"/>
          <w:bCs/>
          <w:sz w:val="26"/>
          <w:u w:val="single"/>
          <w:rtl/>
        </w:rPr>
      </w:pPr>
    </w:p>
    <w:p w:rsidR="00B9059E" w:rsidRPr="00B9059E" w:rsidRDefault="00B9059E" w:rsidP="00B9059E">
      <w:pPr>
        <w:pStyle w:val="HeadDivreiHesber"/>
        <w:jc w:val="both"/>
        <w:rPr>
          <w:b w:val="0"/>
          <w:bCs/>
          <w:sz w:val="26"/>
          <w:u w:val="single"/>
          <w:rtl/>
        </w:rPr>
      </w:pPr>
      <w:r w:rsidRPr="00B9059E">
        <w:rPr>
          <w:rFonts w:hint="eastAsia"/>
          <w:b w:val="0"/>
          <w:bCs/>
          <w:sz w:val="26"/>
          <w:u w:val="single"/>
          <w:rtl/>
        </w:rPr>
        <w:lastRenderedPageBreak/>
        <w:t>לפסקה</w:t>
      </w:r>
      <w:r w:rsidRPr="00B9059E">
        <w:rPr>
          <w:b w:val="0"/>
          <w:bCs/>
          <w:sz w:val="26"/>
          <w:u w:val="single"/>
          <w:rtl/>
        </w:rPr>
        <w:t xml:space="preserve"> 1</w:t>
      </w:r>
      <w:r w:rsidRPr="00B9059E">
        <w:rPr>
          <w:rFonts w:hint="cs"/>
          <w:b w:val="0"/>
          <w:bCs/>
          <w:sz w:val="26"/>
          <w:u w:val="single"/>
          <w:rtl/>
        </w:rPr>
        <w:t>(4</w:t>
      </w:r>
      <w:r w:rsidRPr="00B9059E">
        <w:rPr>
          <w:b w:val="0"/>
          <w:bCs/>
          <w:sz w:val="26"/>
          <w:u w:val="single"/>
          <w:rtl/>
        </w:rPr>
        <w:t>)</w:t>
      </w:r>
    </w:p>
    <w:p w:rsidR="00B9059E" w:rsidRPr="00B9059E" w:rsidRDefault="00B9059E" w:rsidP="00B9059E">
      <w:pPr>
        <w:pStyle w:val="HeadDivreiHesber"/>
        <w:jc w:val="both"/>
        <w:rPr>
          <w:sz w:val="26"/>
          <w:rtl/>
        </w:rPr>
      </w:pPr>
      <w:r w:rsidRPr="00B9059E">
        <w:rPr>
          <w:rFonts w:hint="cs"/>
          <w:sz w:val="26"/>
          <w:rtl/>
        </w:rPr>
        <w:t xml:space="preserve">מוצע כי במידה ובקשתו של המוכר או הקונה להפחתת המקדמה לא נענתה תוך 20 ימים ממועד הגשתה, הרי שיראו אותה כנתקבלה, ובהמשך לאמור יינתן לרוכש אישור לפי סעיף 16 לעניין מס שבח. כמו כן מוצע להקנות למנהל את הסמכות להקטין את המקדמה מיוזמתו. </w:t>
      </w:r>
    </w:p>
    <w:p w:rsidR="00B9059E" w:rsidRPr="00B9059E" w:rsidRDefault="00B9059E" w:rsidP="00B9059E">
      <w:pPr>
        <w:pStyle w:val="HeadDivreiHesber"/>
        <w:jc w:val="both"/>
        <w:rPr>
          <w:b w:val="0"/>
          <w:bCs/>
          <w:sz w:val="26"/>
          <w:u w:val="single"/>
          <w:rtl/>
        </w:rPr>
      </w:pPr>
      <w:r w:rsidRPr="00B9059E">
        <w:rPr>
          <w:rFonts w:hint="eastAsia"/>
          <w:b w:val="0"/>
          <w:bCs/>
          <w:sz w:val="26"/>
          <w:u w:val="single"/>
          <w:rtl/>
        </w:rPr>
        <w:t>לפסקה</w:t>
      </w:r>
      <w:r w:rsidRPr="00B9059E">
        <w:rPr>
          <w:b w:val="0"/>
          <w:bCs/>
          <w:sz w:val="26"/>
          <w:u w:val="single"/>
          <w:rtl/>
        </w:rPr>
        <w:t xml:space="preserve"> 1(</w:t>
      </w:r>
      <w:r w:rsidRPr="00B9059E">
        <w:rPr>
          <w:rFonts w:hint="cs"/>
          <w:b w:val="0"/>
          <w:bCs/>
          <w:sz w:val="26"/>
          <w:u w:val="single"/>
          <w:rtl/>
        </w:rPr>
        <w:t>5</w:t>
      </w:r>
      <w:r w:rsidRPr="00B9059E">
        <w:rPr>
          <w:b w:val="0"/>
          <w:bCs/>
          <w:sz w:val="26"/>
          <w:u w:val="single"/>
          <w:rtl/>
        </w:rPr>
        <w:t>)</w:t>
      </w:r>
    </w:p>
    <w:p w:rsidR="00B9059E" w:rsidRPr="00B9059E" w:rsidRDefault="00B9059E" w:rsidP="00B9059E">
      <w:pPr>
        <w:pStyle w:val="HeadDivreiHesber"/>
        <w:jc w:val="both"/>
        <w:rPr>
          <w:sz w:val="26"/>
          <w:rtl/>
        </w:rPr>
      </w:pPr>
      <w:r w:rsidRPr="00B9059E">
        <w:rPr>
          <w:rFonts w:hint="cs"/>
          <w:sz w:val="26"/>
          <w:rtl/>
        </w:rPr>
        <w:t xml:space="preserve">מוצע להוסיף סעיף קטן חדש, סעיף (ה1),  לפיו תינתן אפשרות למוכר או לקונה אשר בקשתם להקטנת המקדמה נדחתה, להגיש בקשה לעיון חוזר בבקשתם, אשר תידון בפני מנהל משרד מיסוי מקרקעין האזורי, וזאת בהתאם למועדים המפורטים בסעיף. </w:t>
      </w:r>
    </w:p>
    <w:p w:rsidR="00B9059E" w:rsidRPr="00B9059E" w:rsidRDefault="00B9059E" w:rsidP="00B9059E">
      <w:pPr>
        <w:pStyle w:val="HeadDivreiHesber"/>
        <w:jc w:val="both"/>
        <w:rPr>
          <w:sz w:val="26"/>
          <w:u w:val="single"/>
          <w:rtl/>
        </w:rPr>
      </w:pPr>
      <w:r w:rsidRPr="00B9059E">
        <w:rPr>
          <w:rFonts w:hint="cs"/>
          <w:b w:val="0"/>
          <w:bCs/>
          <w:sz w:val="26"/>
          <w:u w:val="single"/>
          <w:rtl/>
        </w:rPr>
        <w:t>לסעיף קטן (ה2)</w:t>
      </w:r>
      <w:r w:rsidRPr="00B9059E">
        <w:rPr>
          <w:rFonts w:hint="cs"/>
          <w:sz w:val="26"/>
          <w:u w:val="single"/>
          <w:rtl/>
        </w:rPr>
        <w:t xml:space="preserve"> </w:t>
      </w:r>
      <w:r w:rsidRPr="00B9059E">
        <w:rPr>
          <w:sz w:val="26"/>
          <w:u w:val="single"/>
          <w:rtl/>
        </w:rPr>
        <w:t>–</w:t>
      </w:r>
      <w:r w:rsidRPr="00B9059E">
        <w:rPr>
          <w:rFonts w:hint="cs"/>
          <w:sz w:val="26"/>
          <w:u w:val="single"/>
          <w:rtl/>
        </w:rPr>
        <w:t xml:space="preserve"> </w:t>
      </w:r>
    </w:p>
    <w:p w:rsidR="00B9059E" w:rsidRPr="00B9059E" w:rsidRDefault="00B9059E" w:rsidP="00B9059E">
      <w:pPr>
        <w:pStyle w:val="HeadDivreiHesber"/>
        <w:jc w:val="both"/>
        <w:rPr>
          <w:sz w:val="26"/>
          <w:rtl/>
        </w:rPr>
      </w:pPr>
      <w:r w:rsidRPr="00B9059E">
        <w:rPr>
          <w:rFonts w:hint="cs"/>
          <w:sz w:val="26"/>
          <w:rtl/>
        </w:rPr>
        <w:t xml:space="preserve">מוצע כי מי שדן בבקשה להקטנת המקדמה, לא ידון בבקשה לעיון חוזר. </w:t>
      </w:r>
    </w:p>
    <w:p w:rsidR="0027049A" w:rsidRDefault="00B9059E" w:rsidP="0027049A">
      <w:pPr>
        <w:pStyle w:val="HeadDivreiHesber"/>
        <w:jc w:val="both"/>
        <w:rPr>
          <w:sz w:val="26"/>
          <w:rtl/>
        </w:rPr>
      </w:pPr>
      <w:r w:rsidRPr="00B9059E">
        <w:rPr>
          <w:rFonts w:hint="cs"/>
          <w:b w:val="0"/>
          <w:bCs/>
          <w:sz w:val="26"/>
          <w:u w:val="single"/>
          <w:rtl/>
        </w:rPr>
        <w:t>לסעיף קטן (ה3)</w:t>
      </w:r>
      <w:r w:rsidRPr="00B9059E">
        <w:rPr>
          <w:rFonts w:hint="cs"/>
          <w:sz w:val="26"/>
          <w:u w:val="single"/>
          <w:rtl/>
        </w:rPr>
        <w:t xml:space="preserve"> </w:t>
      </w:r>
    </w:p>
    <w:p w:rsidR="00B9059E" w:rsidRPr="00B9059E" w:rsidRDefault="00B9059E" w:rsidP="0027049A">
      <w:pPr>
        <w:pStyle w:val="HeadDivreiHesber"/>
        <w:jc w:val="both"/>
        <w:rPr>
          <w:sz w:val="26"/>
          <w:rtl/>
        </w:rPr>
      </w:pPr>
      <w:r w:rsidRPr="00B9059E">
        <w:rPr>
          <w:rFonts w:hint="cs"/>
          <w:sz w:val="26"/>
          <w:rtl/>
        </w:rPr>
        <w:t xml:space="preserve">מוצע לקבוע כי הוראות המקדמה לא יחולו על עסקאות בהם התבקש פטור, כמפורט בהצעה, כגון פטור לדירת מגורים. </w:t>
      </w:r>
    </w:p>
    <w:p w:rsidR="00B9059E" w:rsidRPr="00B9059E" w:rsidRDefault="00B9059E" w:rsidP="00B9059E">
      <w:pPr>
        <w:pStyle w:val="HeadDivreiHesber"/>
        <w:jc w:val="both"/>
        <w:rPr>
          <w:sz w:val="26"/>
          <w:u w:val="single"/>
          <w:rtl/>
        </w:rPr>
      </w:pPr>
      <w:r w:rsidRPr="00B9059E">
        <w:rPr>
          <w:rFonts w:hint="cs"/>
          <w:b w:val="0"/>
          <w:bCs/>
          <w:sz w:val="26"/>
          <w:u w:val="single"/>
          <w:rtl/>
        </w:rPr>
        <w:t>לסעיף קטן (ה4)</w:t>
      </w:r>
      <w:r w:rsidRPr="00B9059E">
        <w:rPr>
          <w:rFonts w:hint="cs"/>
          <w:sz w:val="26"/>
          <w:u w:val="single"/>
          <w:rtl/>
        </w:rPr>
        <w:t xml:space="preserve"> </w:t>
      </w:r>
    </w:p>
    <w:p w:rsidR="00B9059E" w:rsidRPr="00B9059E" w:rsidRDefault="00B9059E" w:rsidP="00B9059E">
      <w:pPr>
        <w:pStyle w:val="HeadDivreiHesber"/>
        <w:jc w:val="both"/>
        <w:rPr>
          <w:sz w:val="26"/>
          <w:rtl/>
        </w:rPr>
      </w:pPr>
      <w:r w:rsidRPr="00B9059E">
        <w:rPr>
          <w:rFonts w:hint="cs"/>
          <w:sz w:val="26"/>
          <w:rtl/>
        </w:rPr>
        <w:t xml:space="preserve">על מנת להקל על  הרוכשים בעסקאות במקרקעין לרשום את זכותם בפנקס רישום המקרקעין, מוצע לקבוע כי בהתקיימם של מספר תנאים במצטבר, כגון תשלום המקדמה לעניין מס שבח, תשלום השומה העצמית של הנישום לעניין מס רכישה וכו' כמפורט בהצעה, יהא זכאי הרוכש לקבל אישור לפי סעיף 16 לעניין מס הרכישה, זאת אף אם המנהל טרם הוציא שומה לפי סעיף 78(ב). </w:t>
      </w:r>
    </w:p>
    <w:p w:rsidR="00B9059E" w:rsidRPr="00CE28D0" w:rsidRDefault="00B9059E" w:rsidP="00B9059E">
      <w:pPr>
        <w:pStyle w:val="HeadDivreiHesber"/>
        <w:jc w:val="both"/>
        <w:rPr>
          <w:b w:val="0"/>
          <w:bCs/>
          <w:sz w:val="26"/>
          <w:u w:val="single"/>
          <w:rtl/>
        </w:rPr>
      </w:pPr>
      <w:r w:rsidRPr="00CE28D0">
        <w:rPr>
          <w:rFonts w:hint="eastAsia"/>
          <w:b w:val="0"/>
          <w:bCs/>
          <w:sz w:val="26"/>
          <w:u w:val="single"/>
          <w:rtl/>
        </w:rPr>
        <w:t>לפסקה</w:t>
      </w:r>
      <w:r w:rsidRPr="00CE28D0">
        <w:rPr>
          <w:b w:val="0"/>
          <w:bCs/>
          <w:sz w:val="26"/>
          <w:u w:val="single"/>
          <w:rtl/>
        </w:rPr>
        <w:t xml:space="preserve"> 2</w:t>
      </w:r>
    </w:p>
    <w:p w:rsidR="00B9059E" w:rsidRPr="00B9059E" w:rsidRDefault="00B9059E" w:rsidP="00B9059E">
      <w:pPr>
        <w:pStyle w:val="HeadDivreiHesber"/>
        <w:jc w:val="both"/>
        <w:rPr>
          <w:sz w:val="26"/>
          <w:rtl/>
        </w:rPr>
      </w:pPr>
      <w:r w:rsidRPr="00B9059E">
        <w:rPr>
          <w:rFonts w:hint="cs"/>
          <w:sz w:val="26"/>
          <w:rtl/>
        </w:rPr>
        <w:t xml:space="preserve">מוצע כי הדיון בבקשה לעיון חוזר ישמר בידי המנהל בלבד.  </w:t>
      </w:r>
    </w:p>
    <w:p w:rsidR="00B9059E" w:rsidRPr="00CE28D0" w:rsidRDefault="00B9059E" w:rsidP="00B9059E">
      <w:pPr>
        <w:pStyle w:val="HeadDivreiHesber"/>
        <w:jc w:val="both"/>
        <w:rPr>
          <w:b w:val="0"/>
          <w:bCs/>
          <w:sz w:val="26"/>
          <w:u w:val="single"/>
          <w:rtl/>
        </w:rPr>
      </w:pPr>
      <w:r w:rsidRPr="00CE28D0">
        <w:rPr>
          <w:rFonts w:hint="eastAsia"/>
          <w:b w:val="0"/>
          <w:bCs/>
          <w:sz w:val="26"/>
          <w:u w:val="single"/>
          <w:rtl/>
        </w:rPr>
        <w:t>לפסקה</w:t>
      </w:r>
      <w:r w:rsidRPr="00CE28D0">
        <w:rPr>
          <w:b w:val="0"/>
          <w:bCs/>
          <w:sz w:val="26"/>
          <w:u w:val="single"/>
          <w:rtl/>
        </w:rPr>
        <w:t xml:space="preserve"> 3 </w:t>
      </w:r>
    </w:p>
    <w:p w:rsidR="00B9059E" w:rsidRPr="00B9059E" w:rsidRDefault="00B9059E" w:rsidP="00B9059E">
      <w:pPr>
        <w:pStyle w:val="HeadDivreiHesber"/>
        <w:jc w:val="both"/>
        <w:rPr>
          <w:sz w:val="26"/>
          <w:rtl/>
        </w:rPr>
      </w:pPr>
      <w:r w:rsidRPr="00B9059E">
        <w:rPr>
          <w:rFonts w:hint="cs"/>
          <w:sz w:val="26"/>
          <w:rtl/>
        </w:rPr>
        <w:t xml:space="preserve">מוצע להתבסס על הוראת השעה ולאמצה כבסיס למתווה החקיקתי המפורט בהצעה זו. </w:t>
      </w:r>
    </w:p>
    <w:p w:rsidR="00B9059E" w:rsidRPr="00CE28D0" w:rsidRDefault="00B9059E" w:rsidP="00B9059E">
      <w:pPr>
        <w:pStyle w:val="HeadDivreiHesber"/>
        <w:jc w:val="both"/>
        <w:rPr>
          <w:bCs/>
          <w:sz w:val="26"/>
          <w:u w:val="single"/>
          <w:rtl/>
        </w:rPr>
      </w:pPr>
      <w:r w:rsidRPr="00CE28D0">
        <w:rPr>
          <w:b w:val="0"/>
          <w:bCs/>
          <w:sz w:val="26"/>
          <w:u w:val="single"/>
          <w:rtl/>
        </w:rPr>
        <w:lastRenderedPageBreak/>
        <w:t>לפסקה 4</w:t>
      </w:r>
      <w:r w:rsidRPr="00CE28D0">
        <w:rPr>
          <w:rFonts w:hint="cs"/>
          <w:b w:val="0"/>
          <w:bCs/>
          <w:sz w:val="26"/>
          <w:u w:val="single"/>
          <w:rtl/>
        </w:rPr>
        <w:t>(א-ב)</w:t>
      </w:r>
    </w:p>
    <w:p w:rsidR="00B9059E" w:rsidRDefault="00B9059E" w:rsidP="00B9059E">
      <w:pPr>
        <w:pStyle w:val="HeadDivreiHesber"/>
        <w:jc w:val="both"/>
        <w:rPr>
          <w:sz w:val="26"/>
          <w:rtl/>
        </w:rPr>
      </w:pPr>
      <w:r w:rsidRPr="00B9059E">
        <w:rPr>
          <w:rFonts w:hint="cs"/>
          <w:sz w:val="26"/>
          <w:rtl/>
        </w:rPr>
        <w:t xml:space="preserve">מוצע להחיל הסדר זה בנוגע לעסקאות במקרקעין החל מיום ה- 1 בינואר 2014. </w:t>
      </w:r>
    </w:p>
    <w:p w:rsidR="00CE28D0" w:rsidRPr="00B9059E" w:rsidRDefault="00CE28D0" w:rsidP="00B9059E">
      <w:pPr>
        <w:pStyle w:val="HeadDivreiHesber"/>
        <w:jc w:val="both"/>
        <w:rPr>
          <w:sz w:val="26"/>
          <w:rtl/>
        </w:rPr>
      </w:pPr>
    </w:p>
    <w:p w:rsidR="00B9059E" w:rsidRDefault="00B9059E" w:rsidP="00CE28D0">
      <w:pPr>
        <w:pStyle w:val="HeadDivreiHesber"/>
        <w:numPr>
          <w:ilvl w:val="0"/>
          <w:numId w:val="9"/>
        </w:numPr>
        <w:tabs>
          <w:tab w:val="left" w:pos="425"/>
        </w:tabs>
        <w:ind w:left="0" w:firstLine="0"/>
        <w:jc w:val="both"/>
        <w:rPr>
          <w:b w:val="0"/>
          <w:bCs/>
          <w:sz w:val="26"/>
          <w:u w:val="single"/>
        </w:rPr>
      </w:pPr>
      <w:r w:rsidRPr="00B9059E">
        <w:rPr>
          <w:rFonts w:hint="cs"/>
          <w:b w:val="0"/>
          <w:bCs/>
          <w:sz w:val="26"/>
          <w:u w:val="single"/>
          <w:rtl/>
        </w:rPr>
        <w:t>השפעת החוק המוצע על התקן המינהלי</w:t>
      </w:r>
    </w:p>
    <w:p w:rsidR="00CE28D0" w:rsidRPr="00CE28D0" w:rsidRDefault="00CE28D0" w:rsidP="00CE28D0">
      <w:pPr>
        <w:pStyle w:val="HeadDivreiHesber"/>
        <w:tabs>
          <w:tab w:val="left" w:pos="425"/>
        </w:tabs>
        <w:jc w:val="both"/>
        <w:rPr>
          <w:sz w:val="26"/>
        </w:rPr>
      </w:pPr>
      <w:r>
        <w:rPr>
          <w:rFonts w:hint="cs"/>
          <w:sz w:val="26"/>
          <w:rtl/>
        </w:rPr>
        <w:tab/>
        <w:t>אין</w:t>
      </w:r>
    </w:p>
    <w:p w:rsidR="00B9059E" w:rsidRDefault="00B9059E" w:rsidP="00CE28D0">
      <w:pPr>
        <w:pStyle w:val="HeadDivreiHesber"/>
        <w:numPr>
          <w:ilvl w:val="0"/>
          <w:numId w:val="9"/>
        </w:numPr>
        <w:tabs>
          <w:tab w:val="left" w:pos="425"/>
        </w:tabs>
        <w:ind w:hanging="720"/>
        <w:jc w:val="both"/>
        <w:rPr>
          <w:b w:val="0"/>
          <w:bCs/>
          <w:sz w:val="26"/>
          <w:u w:val="single"/>
        </w:rPr>
      </w:pPr>
      <w:r w:rsidRPr="00B9059E">
        <w:rPr>
          <w:rFonts w:hint="cs"/>
          <w:b w:val="0"/>
          <w:bCs/>
          <w:sz w:val="26"/>
          <w:u w:val="single"/>
          <w:rtl/>
        </w:rPr>
        <w:t>השפעת החוק המוצע על תקציב המדינה</w:t>
      </w:r>
    </w:p>
    <w:p w:rsidR="00CE28D0" w:rsidRPr="00CE28D0" w:rsidRDefault="00CE28D0" w:rsidP="00CE28D0">
      <w:pPr>
        <w:pStyle w:val="HeadDivreiHesber"/>
        <w:jc w:val="both"/>
        <w:rPr>
          <w:sz w:val="26"/>
        </w:rPr>
      </w:pPr>
      <w:r>
        <w:rPr>
          <w:rFonts w:hint="cs"/>
          <w:sz w:val="26"/>
          <w:rtl/>
        </w:rPr>
        <w:t>תשלום מקדמת מס שבח על ידי רוכש המקרקעין היא הוראה שבאה להקל על הליכי הגביה. מדובר בהוראה קיימת שנעשו בה מספר שינויים</w:t>
      </w:r>
      <w:r w:rsidR="0027049A">
        <w:rPr>
          <w:rFonts w:hint="cs"/>
          <w:sz w:val="26"/>
          <w:rtl/>
        </w:rPr>
        <w:t>,</w:t>
      </w:r>
      <w:r>
        <w:rPr>
          <w:rFonts w:hint="cs"/>
          <w:sz w:val="26"/>
          <w:rtl/>
        </w:rPr>
        <w:t xml:space="preserve"> שלא אמורה להיות להם השפעה על תקציב המדינה.</w:t>
      </w:r>
    </w:p>
    <w:p w:rsidR="00B9059E" w:rsidRPr="00B9059E" w:rsidRDefault="00B9059E" w:rsidP="00B9059E">
      <w:pPr>
        <w:pStyle w:val="HeadDivreiHesber"/>
        <w:jc w:val="both"/>
        <w:rPr>
          <w:sz w:val="26"/>
          <w:rtl/>
        </w:rPr>
      </w:pPr>
    </w:p>
    <w:p w:rsidR="00B9059E" w:rsidRPr="00B9059E" w:rsidRDefault="00B9059E" w:rsidP="00B9059E">
      <w:pPr>
        <w:pStyle w:val="HeadDivreiHesber"/>
        <w:jc w:val="both"/>
        <w:rPr>
          <w:sz w:val="26"/>
          <w:rtl/>
        </w:rPr>
      </w:pPr>
    </w:p>
    <w:p w:rsidR="00B9059E" w:rsidRPr="00B9059E" w:rsidRDefault="00B9059E" w:rsidP="00B9059E">
      <w:pPr>
        <w:pStyle w:val="HesberWriters"/>
        <w:spacing w:after="120"/>
        <w:ind w:hanging="2326"/>
        <w:jc w:val="left"/>
        <w:rPr>
          <w:sz w:val="26"/>
          <w:rtl/>
        </w:rPr>
      </w:pPr>
    </w:p>
    <w:p w:rsidR="0027049A" w:rsidRDefault="0027049A">
      <w:pPr>
        <w:widowControl/>
        <w:autoSpaceDE/>
        <w:autoSpaceDN/>
        <w:bidi w:val="0"/>
        <w:adjustRightInd/>
        <w:spacing w:before="0" w:line="240" w:lineRule="auto"/>
        <w:ind w:firstLine="0"/>
        <w:jc w:val="left"/>
        <w:textAlignment w:val="auto"/>
        <w:rPr>
          <w:rFonts w:ascii="Arial" w:eastAsia="Arial Unicode MS" w:hAnsi="Arial" w:cs="David"/>
          <w:b/>
          <w:bCs/>
          <w:snapToGrid w:val="0"/>
          <w:spacing w:val="0"/>
          <w:sz w:val="26"/>
          <w:szCs w:val="26"/>
        </w:rPr>
      </w:pPr>
      <w:r>
        <w:rPr>
          <w:sz w:val="26"/>
          <w:rtl/>
        </w:rPr>
        <w:br w:type="page"/>
      </w:r>
    </w:p>
    <w:p w:rsidR="005D51AE" w:rsidRPr="00B9059E" w:rsidRDefault="00C13CAE" w:rsidP="00EB765D">
      <w:pPr>
        <w:pStyle w:val="HeadMitparsemetBaze"/>
        <w:keepNext w:val="0"/>
        <w:keepLines w:val="0"/>
        <w:pageBreakBefore w:val="0"/>
        <w:rPr>
          <w:sz w:val="26"/>
          <w:rtl/>
        </w:rPr>
      </w:pPr>
      <w:r w:rsidRPr="00B9059E">
        <w:rPr>
          <w:sz w:val="26"/>
          <w:rtl/>
        </w:rPr>
        <w:lastRenderedPageBreak/>
        <w:t xml:space="preserve">הצעת חוק </w:t>
      </w:r>
      <w:r w:rsidR="00CB4C0A" w:rsidRPr="00B9059E">
        <w:rPr>
          <w:rFonts w:hint="cs"/>
          <w:sz w:val="26"/>
          <w:rtl/>
        </w:rPr>
        <w:t>מטעם הממשלה</w:t>
      </w:r>
      <w:r w:rsidR="00E7024C" w:rsidRPr="00B9059E">
        <w:rPr>
          <w:rFonts w:hint="cs"/>
          <w:sz w:val="26"/>
          <w:rtl/>
        </w:rPr>
        <w:t>:</w:t>
      </w:r>
      <w:r w:rsidR="00EB765D" w:rsidRPr="00B9059E">
        <w:rPr>
          <w:rFonts w:hint="cs"/>
          <w:sz w:val="26"/>
          <w:rtl/>
        </w:rPr>
        <w:t xml:space="preserve"> </w:t>
      </w:r>
    </w:p>
    <w:p w:rsidR="005D51AE" w:rsidRPr="00B9059E" w:rsidRDefault="005D51AE" w:rsidP="000A2B18">
      <w:pPr>
        <w:pStyle w:val="HeadHatzaotHok"/>
        <w:keepNext w:val="0"/>
        <w:keepLines w:val="0"/>
        <w:rPr>
          <w:sz w:val="26"/>
          <w:rtl/>
        </w:rPr>
      </w:pPr>
      <w:r w:rsidRPr="00B9059E">
        <w:rPr>
          <w:sz w:val="26"/>
          <w:rtl/>
        </w:rPr>
        <w:t>הצעת חו</w:t>
      </w:r>
      <w:r w:rsidRPr="00B9059E">
        <w:rPr>
          <w:rFonts w:hint="cs"/>
          <w:sz w:val="26"/>
          <w:rtl/>
        </w:rPr>
        <w:t>ק</w:t>
      </w:r>
      <w:r w:rsidR="00E7024C" w:rsidRPr="00B9059E">
        <w:rPr>
          <w:rFonts w:hint="cs"/>
          <w:sz w:val="26"/>
          <w:rtl/>
        </w:rPr>
        <w:t xml:space="preserve"> </w:t>
      </w:r>
      <w:r w:rsidR="000A2B18" w:rsidRPr="00B9059E">
        <w:rPr>
          <w:rFonts w:hint="cs"/>
          <w:sz w:val="26"/>
          <w:rtl/>
        </w:rPr>
        <w:t>לתיקון מיסוי מקרקעין (שבח ורכישה),</w:t>
      </w:r>
      <w:r w:rsidR="00CF5BDF" w:rsidRPr="00B9059E">
        <w:rPr>
          <w:rFonts w:hint="cs"/>
          <w:sz w:val="26"/>
          <w:rtl/>
        </w:rPr>
        <w:t>(תיקון מס'</w:t>
      </w:r>
      <w:r w:rsidR="000A2B18" w:rsidRPr="00B9059E">
        <w:rPr>
          <w:rFonts w:hint="cs"/>
          <w:sz w:val="26"/>
          <w:rtl/>
        </w:rPr>
        <w:t>) התשע"ד-2013</w:t>
      </w: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19"/>
      </w:tblGrid>
      <w:tr w:rsidR="002D445F" w:rsidRPr="00B9059E" w:rsidTr="00C360B7">
        <w:trPr>
          <w:cantSplit/>
        </w:trPr>
        <w:tc>
          <w:tcPr>
            <w:tcW w:w="1871" w:type="dxa"/>
          </w:tcPr>
          <w:p w:rsidR="002D445F" w:rsidRPr="00B9059E" w:rsidRDefault="002D445F" w:rsidP="009F32FE">
            <w:pPr>
              <w:pStyle w:val="TableSideHeading"/>
              <w:rPr>
                <w:sz w:val="26"/>
              </w:rPr>
            </w:pPr>
          </w:p>
        </w:tc>
        <w:tc>
          <w:tcPr>
            <w:tcW w:w="624" w:type="dxa"/>
          </w:tcPr>
          <w:p w:rsidR="002D445F" w:rsidRPr="00B9059E" w:rsidRDefault="002D445F" w:rsidP="009F32FE">
            <w:pPr>
              <w:pStyle w:val="TableText"/>
              <w:rPr>
                <w:sz w:val="26"/>
              </w:rPr>
            </w:pPr>
          </w:p>
        </w:tc>
        <w:tc>
          <w:tcPr>
            <w:tcW w:w="7143" w:type="dxa"/>
            <w:gridSpan w:val="2"/>
          </w:tcPr>
          <w:p w:rsidR="002D445F" w:rsidRPr="00B9059E" w:rsidRDefault="002D445F" w:rsidP="00C360B7">
            <w:pPr>
              <w:pStyle w:val="TableHead"/>
              <w:rPr>
                <w:sz w:val="26"/>
              </w:rPr>
            </w:pPr>
          </w:p>
        </w:tc>
      </w:tr>
      <w:tr w:rsidR="00415916" w:rsidRPr="00B9059E" w:rsidTr="00C360B7">
        <w:trPr>
          <w:cantSplit/>
        </w:trPr>
        <w:tc>
          <w:tcPr>
            <w:tcW w:w="1871" w:type="dxa"/>
          </w:tcPr>
          <w:p w:rsidR="00415916" w:rsidRPr="00B9059E" w:rsidRDefault="00415916" w:rsidP="007E751D">
            <w:pPr>
              <w:pStyle w:val="TableSideHeading"/>
              <w:keepLines w:val="0"/>
              <w:rPr>
                <w:sz w:val="26"/>
              </w:rPr>
            </w:pPr>
            <w:r w:rsidRPr="00B9059E">
              <w:rPr>
                <w:rFonts w:hint="cs"/>
                <w:sz w:val="26"/>
                <w:rtl/>
              </w:rPr>
              <w:t>תיקון סעיף 15</w:t>
            </w:r>
          </w:p>
        </w:tc>
        <w:tc>
          <w:tcPr>
            <w:tcW w:w="624" w:type="dxa"/>
          </w:tcPr>
          <w:p w:rsidR="00415916" w:rsidRPr="00B9059E" w:rsidRDefault="00415916" w:rsidP="00415916">
            <w:pPr>
              <w:pStyle w:val="TableText"/>
              <w:keepLines w:val="0"/>
              <w:numPr>
                <w:ilvl w:val="0"/>
                <w:numId w:val="1"/>
              </w:numPr>
              <w:rPr>
                <w:sz w:val="26"/>
              </w:rPr>
            </w:pPr>
          </w:p>
        </w:tc>
        <w:tc>
          <w:tcPr>
            <w:tcW w:w="7143" w:type="dxa"/>
            <w:gridSpan w:val="2"/>
          </w:tcPr>
          <w:p w:rsidR="00415916" w:rsidRPr="00B9059E" w:rsidRDefault="00415916" w:rsidP="00C360B7">
            <w:pPr>
              <w:pStyle w:val="TableBlock"/>
              <w:numPr>
                <w:ilvl w:val="2"/>
                <w:numId w:val="1"/>
              </w:numPr>
              <w:tabs>
                <w:tab w:val="left" w:pos="624"/>
              </w:tabs>
              <w:rPr>
                <w:sz w:val="26"/>
              </w:rPr>
            </w:pPr>
            <w:r w:rsidRPr="00B9059E">
              <w:rPr>
                <w:rFonts w:hint="cs"/>
                <w:sz w:val="26"/>
                <w:rtl/>
              </w:rPr>
              <w:t xml:space="preserve">בסעיף 15 לחוק מיסוי מקרקעין (שבח ורכישה), התשכ"ג-1963 </w:t>
            </w:r>
            <w:r w:rsidRPr="00B9059E">
              <w:rPr>
                <w:rStyle w:val="a6"/>
                <w:sz w:val="26"/>
                <w:rtl/>
              </w:rPr>
              <w:footnoteReference w:id="4"/>
            </w:r>
            <w:r w:rsidRPr="00B9059E">
              <w:rPr>
                <w:rFonts w:hint="cs"/>
                <w:sz w:val="26"/>
                <w:rtl/>
              </w:rPr>
              <w:t>בסעיף קטן (ב) ברישא המילים "ואינה דירת מגורים מזכה שהתבקש בשלה פטור לפי פרק חמישי 1" ימחקו;</w:t>
            </w:r>
          </w:p>
        </w:tc>
      </w:tr>
      <w:tr w:rsidR="00415916" w:rsidRPr="00B9059E" w:rsidTr="00C360B7">
        <w:trPr>
          <w:cantSplit/>
        </w:trPr>
        <w:tc>
          <w:tcPr>
            <w:tcW w:w="1871" w:type="dxa"/>
          </w:tcPr>
          <w:p w:rsidR="00415916" w:rsidRPr="00B9059E" w:rsidRDefault="00415916" w:rsidP="007E751D">
            <w:pPr>
              <w:pStyle w:val="TableSideHeading"/>
              <w:keepLines w:val="0"/>
              <w:rPr>
                <w:sz w:val="26"/>
                <w:rtl/>
              </w:rPr>
            </w:pPr>
          </w:p>
        </w:tc>
        <w:tc>
          <w:tcPr>
            <w:tcW w:w="624" w:type="dxa"/>
          </w:tcPr>
          <w:p w:rsidR="00415916" w:rsidRPr="00B9059E" w:rsidRDefault="00415916" w:rsidP="00415916">
            <w:pPr>
              <w:pStyle w:val="TableText"/>
              <w:rPr>
                <w:sz w:val="26"/>
              </w:rPr>
            </w:pPr>
          </w:p>
        </w:tc>
        <w:tc>
          <w:tcPr>
            <w:tcW w:w="7143" w:type="dxa"/>
            <w:gridSpan w:val="2"/>
          </w:tcPr>
          <w:p w:rsidR="00415916" w:rsidRPr="00B9059E" w:rsidRDefault="00415916" w:rsidP="00C360B7">
            <w:pPr>
              <w:pStyle w:val="TableBlock"/>
              <w:numPr>
                <w:ilvl w:val="2"/>
                <w:numId w:val="1"/>
              </w:numPr>
              <w:tabs>
                <w:tab w:val="left" w:pos="624"/>
              </w:tabs>
              <w:rPr>
                <w:sz w:val="26"/>
                <w:rtl/>
              </w:rPr>
            </w:pPr>
            <w:r w:rsidRPr="00B9059E">
              <w:rPr>
                <w:rFonts w:hint="cs"/>
                <w:sz w:val="26"/>
                <w:rtl/>
              </w:rPr>
              <w:t xml:space="preserve">אחרי סעיף קטן (ב)(2),  יבוא:                                                                                             </w:t>
            </w:r>
          </w:p>
        </w:tc>
      </w:tr>
      <w:tr w:rsidR="00415916" w:rsidRPr="00B9059E" w:rsidTr="00C360B7">
        <w:trPr>
          <w:cantSplit/>
        </w:trPr>
        <w:tc>
          <w:tcPr>
            <w:tcW w:w="1871" w:type="dxa"/>
          </w:tcPr>
          <w:p w:rsidR="00415916" w:rsidRPr="00B9059E" w:rsidRDefault="00415916">
            <w:pPr>
              <w:pStyle w:val="TableSideHeading"/>
              <w:rPr>
                <w:sz w:val="26"/>
              </w:rPr>
            </w:pPr>
          </w:p>
        </w:tc>
        <w:tc>
          <w:tcPr>
            <w:tcW w:w="624" w:type="dxa"/>
          </w:tcPr>
          <w:p w:rsidR="00415916" w:rsidRPr="00B9059E" w:rsidRDefault="00415916" w:rsidP="00415916">
            <w:pPr>
              <w:pStyle w:val="TableText"/>
              <w:rPr>
                <w:sz w:val="26"/>
              </w:rPr>
            </w:pPr>
          </w:p>
        </w:tc>
        <w:tc>
          <w:tcPr>
            <w:tcW w:w="624" w:type="dxa"/>
          </w:tcPr>
          <w:p w:rsidR="00415916" w:rsidRPr="00B9059E" w:rsidRDefault="00415916">
            <w:pPr>
              <w:pStyle w:val="TableText"/>
              <w:rPr>
                <w:sz w:val="26"/>
              </w:rPr>
            </w:pPr>
          </w:p>
        </w:tc>
        <w:tc>
          <w:tcPr>
            <w:tcW w:w="6519" w:type="dxa"/>
          </w:tcPr>
          <w:p w:rsidR="00415916" w:rsidRPr="00B9059E" w:rsidRDefault="00415916" w:rsidP="00C360B7">
            <w:pPr>
              <w:pStyle w:val="TableBlockOutdent"/>
              <w:rPr>
                <w:sz w:val="26"/>
              </w:rPr>
            </w:pPr>
            <w:r w:rsidRPr="00B9059E">
              <w:rPr>
                <w:sz w:val="26"/>
                <w:rtl/>
              </w:rPr>
              <w:t>"</w:t>
            </w:r>
            <w:r w:rsidR="000A2B18" w:rsidRPr="00B9059E">
              <w:rPr>
                <w:rFonts w:hint="cs"/>
                <w:sz w:val="26"/>
                <w:rtl/>
              </w:rPr>
              <w:t>(3) מכירת זכות במקרקעין ע"י חבר בני-אדם 7.5% מהתמורה;".</w:t>
            </w:r>
          </w:p>
        </w:tc>
      </w:tr>
      <w:tr w:rsidR="00415916" w:rsidRPr="00B9059E" w:rsidTr="00C360B7">
        <w:trPr>
          <w:cantSplit/>
        </w:trPr>
        <w:tc>
          <w:tcPr>
            <w:tcW w:w="1871" w:type="dxa"/>
          </w:tcPr>
          <w:p w:rsidR="00415916" w:rsidRPr="00B9059E" w:rsidRDefault="00415916" w:rsidP="007E751D">
            <w:pPr>
              <w:pStyle w:val="TableSideHeading"/>
              <w:keepLines w:val="0"/>
              <w:rPr>
                <w:sz w:val="26"/>
                <w:rtl/>
              </w:rPr>
            </w:pPr>
          </w:p>
        </w:tc>
        <w:tc>
          <w:tcPr>
            <w:tcW w:w="624" w:type="dxa"/>
          </w:tcPr>
          <w:p w:rsidR="00415916" w:rsidRPr="00B9059E" w:rsidRDefault="00415916" w:rsidP="00415916">
            <w:pPr>
              <w:pStyle w:val="TableText"/>
              <w:rPr>
                <w:sz w:val="26"/>
              </w:rPr>
            </w:pPr>
          </w:p>
        </w:tc>
        <w:tc>
          <w:tcPr>
            <w:tcW w:w="7143" w:type="dxa"/>
            <w:gridSpan w:val="2"/>
          </w:tcPr>
          <w:p w:rsidR="00415916" w:rsidRPr="00B9059E" w:rsidRDefault="00415916" w:rsidP="00C360B7">
            <w:pPr>
              <w:pStyle w:val="TableBlock"/>
              <w:numPr>
                <w:ilvl w:val="2"/>
                <w:numId w:val="1"/>
              </w:numPr>
              <w:tabs>
                <w:tab w:val="left" w:pos="624"/>
              </w:tabs>
              <w:rPr>
                <w:sz w:val="26"/>
              </w:rPr>
            </w:pPr>
            <w:r w:rsidRPr="00B9059E">
              <w:rPr>
                <w:rFonts w:hint="cs"/>
                <w:sz w:val="26"/>
                <w:rtl/>
              </w:rPr>
              <w:t xml:space="preserve">בסעיף קטן (ג), לאחר המלים "ששולמו למוכר 40% מהתמורה" יבואו המילים "או לפי המועד הקבוע בסעיף 90א לפי המאוחר מביניהם". וכן בסופו של הסעיף יבואו המילים "ואולם בגין מכירת זכות במקרקעין או פעולה באיגוד שהריווח מהן נתון לשומה על פי הפרק הראשון לחלק ב' לפקודת מס הכנסה יועבר למנהל סכום על חשבון המקדמה, לאחר ששולמו למוכר 80% מהתמורה;"        </w:t>
            </w:r>
          </w:p>
          <w:p w:rsidR="00415916" w:rsidRPr="00B9059E" w:rsidRDefault="00415916" w:rsidP="000A2B18">
            <w:pPr>
              <w:pStyle w:val="TableBlock"/>
              <w:keepLines w:val="0"/>
              <w:tabs>
                <w:tab w:val="clear" w:pos="624"/>
              </w:tabs>
              <w:rPr>
                <w:sz w:val="26"/>
                <w:rtl/>
              </w:rPr>
            </w:pPr>
          </w:p>
        </w:tc>
      </w:tr>
      <w:tr w:rsidR="000A2B18" w:rsidRPr="00B9059E" w:rsidTr="00C360B7">
        <w:trPr>
          <w:cantSplit/>
        </w:trPr>
        <w:tc>
          <w:tcPr>
            <w:tcW w:w="1871" w:type="dxa"/>
          </w:tcPr>
          <w:p w:rsidR="000A2B18" w:rsidRPr="00B9059E" w:rsidRDefault="000A2B18" w:rsidP="007E751D">
            <w:pPr>
              <w:pStyle w:val="TableSideHeading"/>
              <w:keepLines w:val="0"/>
              <w:rPr>
                <w:sz w:val="26"/>
                <w:rtl/>
              </w:rPr>
            </w:pPr>
          </w:p>
        </w:tc>
        <w:tc>
          <w:tcPr>
            <w:tcW w:w="624" w:type="dxa"/>
          </w:tcPr>
          <w:p w:rsidR="000A2B18" w:rsidRPr="00B9059E" w:rsidRDefault="000A2B18" w:rsidP="000A2B18">
            <w:pPr>
              <w:pStyle w:val="TableText"/>
              <w:rPr>
                <w:sz w:val="26"/>
              </w:rPr>
            </w:pPr>
          </w:p>
        </w:tc>
        <w:tc>
          <w:tcPr>
            <w:tcW w:w="7143" w:type="dxa"/>
            <w:gridSpan w:val="2"/>
          </w:tcPr>
          <w:p w:rsidR="000A2B18" w:rsidRPr="00B9059E" w:rsidRDefault="000A2B18" w:rsidP="00C360B7">
            <w:pPr>
              <w:pStyle w:val="TableBlock"/>
              <w:numPr>
                <w:ilvl w:val="2"/>
                <w:numId w:val="1"/>
              </w:numPr>
              <w:tabs>
                <w:tab w:val="left" w:pos="624"/>
              </w:tabs>
              <w:rPr>
                <w:sz w:val="26"/>
              </w:rPr>
            </w:pPr>
            <w:r w:rsidRPr="00B9059E">
              <w:rPr>
                <w:rFonts w:hint="cs"/>
                <w:sz w:val="26"/>
                <w:rtl/>
              </w:rPr>
              <w:t xml:space="preserve">סעיף קטן (ד)(5) </w:t>
            </w:r>
            <w:r w:rsidRPr="00B9059E">
              <w:rPr>
                <w:sz w:val="26"/>
                <w:rtl/>
              </w:rPr>
              <w:t>–</w:t>
            </w:r>
            <w:r w:rsidRPr="00B9059E">
              <w:rPr>
                <w:rFonts w:hint="cs"/>
                <w:sz w:val="26"/>
                <w:rtl/>
              </w:rPr>
              <w:t xml:space="preserve"> בטל; בסעיף קטן (ה) במקום המילים "המוכר או הרוכש רשאים לבקש מהמנהל, במועד הגשת ההצהרה שהוגשה לפי סעיף 73, להקטין את השיעורים הקבועים בסעיף קטן (ב)(1) או (2)" יבוא "המנהל רשאי להקטין את השיעורים הקבועים בסעיף קטן (ב), מיוזמתו, וכן לבקשת המוכר או הרוכש אשר תוגש במועד הגשת ההצהרה לפי סעיף 73" .במקום"הוראות סעיף 88 לא יחולו על החלטת המנהל לפי סעיף קטן זה" יבוא "לא נתן המנהל תשובה במועד כאמור, יראו את הבקשה כאילו התקבלה;"</w:t>
            </w:r>
          </w:p>
          <w:p w:rsidR="000A2B18" w:rsidRPr="00B9059E" w:rsidRDefault="000A2B18" w:rsidP="000A2B18">
            <w:pPr>
              <w:pStyle w:val="TableBlock"/>
              <w:keepLines w:val="0"/>
              <w:tabs>
                <w:tab w:val="clear" w:pos="624"/>
              </w:tabs>
              <w:rPr>
                <w:sz w:val="26"/>
                <w:rtl/>
              </w:rPr>
            </w:pPr>
          </w:p>
        </w:tc>
      </w:tr>
      <w:tr w:rsidR="000A2B18" w:rsidRPr="00B9059E" w:rsidTr="00C360B7">
        <w:trPr>
          <w:cantSplit/>
        </w:trPr>
        <w:tc>
          <w:tcPr>
            <w:tcW w:w="1871" w:type="dxa"/>
          </w:tcPr>
          <w:p w:rsidR="000A2B18" w:rsidRPr="00B9059E" w:rsidRDefault="000A2B18" w:rsidP="007E751D">
            <w:pPr>
              <w:pStyle w:val="TableSideHeading"/>
              <w:keepLines w:val="0"/>
              <w:rPr>
                <w:sz w:val="26"/>
                <w:rtl/>
              </w:rPr>
            </w:pPr>
          </w:p>
        </w:tc>
        <w:tc>
          <w:tcPr>
            <w:tcW w:w="624" w:type="dxa"/>
          </w:tcPr>
          <w:p w:rsidR="000A2B18" w:rsidRPr="00B9059E" w:rsidRDefault="000A2B18" w:rsidP="000A2B18">
            <w:pPr>
              <w:pStyle w:val="TableText"/>
              <w:rPr>
                <w:sz w:val="26"/>
              </w:rPr>
            </w:pPr>
          </w:p>
        </w:tc>
        <w:tc>
          <w:tcPr>
            <w:tcW w:w="7143" w:type="dxa"/>
            <w:gridSpan w:val="2"/>
          </w:tcPr>
          <w:p w:rsidR="000A2B18" w:rsidRPr="00B9059E" w:rsidRDefault="000A2B18" w:rsidP="00C360B7">
            <w:pPr>
              <w:pStyle w:val="TableBlock"/>
              <w:numPr>
                <w:ilvl w:val="2"/>
                <w:numId w:val="1"/>
              </w:numPr>
              <w:tabs>
                <w:tab w:val="left" w:pos="624"/>
              </w:tabs>
              <w:rPr>
                <w:sz w:val="26"/>
                <w:rtl/>
              </w:rPr>
            </w:pPr>
            <w:r w:rsidRPr="00B9059E">
              <w:rPr>
                <w:rFonts w:hint="cs"/>
                <w:sz w:val="26"/>
                <w:rtl/>
              </w:rPr>
              <w:t xml:space="preserve">אחרי בסעיף קטן (ה), בסופו יבוא:                                                                               </w:t>
            </w:r>
          </w:p>
        </w:tc>
      </w:tr>
      <w:tr w:rsidR="00BE24CA" w:rsidRPr="00B9059E" w:rsidTr="00C360B7">
        <w:trPr>
          <w:cantSplit/>
        </w:trPr>
        <w:tc>
          <w:tcPr>
            <w:tcW w:w="1871" w:type="dxa"/>
          </w:tcPr>
          <w:p w:rsidR="00BE24CA" w:rsidRPr="00B9059E" w:rsidRDefault="00BE24CA">
            <w:pPr>
              <w:pStyle w:val="TableSideHeading"/>
              <w:rPr>
                <w:sz w:val="26"/>
              </w:rPr>
            </w:pPr>
          </w:p>
        </w:tc>
        <w:tc>
          <w:tcPr>
            <w:tcW w:w="624" w:type="dxa"/>
          </w:tcPr>
          <w:p w:rsidR="00BE24CA" w:rsidRPr="00B9059E" w:rsidRDefault="00BE24CA">
            <w:pPr>
              <w:pStyle w:val="TableText"/>
              <w:rPr>
                <w:sz w:val="26"/>
              </w:rPr>
            </w:pPr>
          </w:p>
        </w:tc>
        <w:tc>
          <w:tcPr>
            <w:tcW w:w="624" w:type="dxa"/>
          </w:tcPr>
          <w:p w:rsidR="00BE24CA" w:rsidRPr="00B9059E" w:rsidRDefault="00BE24CA">
            <w:pPr>
              <w:pStyle w:val="TableText"/>
              <w:rPr>
                <w:sz w:val="26"/>
              </w:rPr>
            </w:pPr>
          </w:p>
        </w:tc>
        <w:tc>
          <w:tcPr>
            <w:tcW w:w="6519" w:type="dxa"/>
          </w:tcPr>
          <w:p w:rsidR="00BE24CA" w:rsidRPr="00B9059E" w:rsidRDefault="00BE24CA" w:rsidP="00C360B7">
            <w:pPr>
              <w:pStyle w:val="TableBlock"/>
              <w:rPr>
                <w:sz w:val="26"/>
              </w:rPr>
            </w:pPr>
            <w:r w:rsidRPr="00B9059E">
              <w:rPr>
                <w:sz w:val="26"/>
                <w:rtl/>
              </w:rPr>
              <w:t>"</w:t>
            </w:r>
            <w:r w:rsidRPr="00B9059E">
              <w:rPr>
                <w:rFonts w:hint="cs"/>
                <w:sz w:val="26"/>
                <w:rtl/>
              </w:rPr>
              <w:t xml:space="preserve">"(ה1) על החלטה לפי סעיף 15(ה), רשאים המוכר  או הרוכש להגיש בקשה מנומקת לעיון חוזר בפני המנהל בתוך ארבעה עשר ימים יום מיום מתן ההחלטה; החלטת המנהל בבקשה תינתן בתוך שלושים ימים מיום הגשת הבקשה בהסתמך על המסמכים אשר הוגשו לו; הוראות סעיף 88 לא יחולו על החלטת המנהל לפי סעיף קטן זה;  </w:t>
            </w:r>
          </w:p>
        </w:tc>
      </w:tr>
      <w:tr w:rsidR="00BE24CA" w:rsidRPr="00B9059E" w:rsidTr="00C360B7">
        <w:trPr>
          <w:cantSplit/>
        </w:trPr>
        <w:tc>
          <w:tcPr>
            <w:tcW w:w="1871" w:type="dxa"/>
          </w:tcPr>
          <w:p w:rsidR="00BE24CA" w:rsidRPr="00B9059E" w:rsidRDefault="00BE24CA">
            <w:pPr>
              <w:pStyle w:val="TableSideHeading"/>
              <w:rPr>
                <w:sz w:val="26"/>
              </w:rPr>
            </w:pPr>
          </w:p>
        </w:tc>
        <w:tc>
          <w:tcPr>
            <w:tcW w:w="624" w:type="dxa"/>
          </w:tcPr>
          <w:p w:rsidR="00BE24CA" w:rsidRPr="00B9059E" w:rsidRDefault="00BE24CA" w:rsidP="00BE24CA">
            <w:pPr>
              <w:pStyle w:val="TableText"/>
              <w:rPr>
                <w:sz w:val="26"/>
              </w:rPr>
            </w:pPr>
          </w:p>
        </w:tc>
        <w:tc>
          <w:tcPr>
            <w:tcW w:w="624" w:type="dxa"/>
          </w:tcPr>
          <w:p w:rsidR="00BE24CA" w:rsidRPr="00B9059E" w:rsidRDefault="00BE24CA">
            <w:pPr>
              <w:pStyle w:val="TableText"/>
              <w:rPr>
                <w:sz w:val="26"/>
              </w:rPr>
            </w:pPr>
          </w:p>
        </w:tc>
        <w:tc>
          <w:tcPr>
            <w:tcW w:w="6519" w:type="dxa"/>
          </w:tcPr>
          <w:p w:rsidR="00BE24CA" w:rsidRPr="00B9059E" w:rsidRDefault="00BE24CA" w:rsidP="0027049A">
            <w:pPr>
              <w:pStyle w:val="TableBlock"/>
              <w:rPr>
                <w:sz w:val="26"/>
              </w:rPr>
            </w:pPr>
            <w:r w:rsidRPr="00B9059E">
              <w:rPr>
                <w:rFonts w:hint="cs"/>
                <w:sz w:val="26"/>
                <w:rtl/>
              </w:rPr>
              <w:t>(ה2) מי שנתן החלטה לפי סעיף 15(ה) לא ידון בבקשה לעיון חוזר.</w:t>
            </w:r>
          </w:p>
          <w:p w:rsidR="00AC5E52" w:rsidRDefault="00BE24CA" w:rsidP="0027049A">
            <w:pPr>
              <w:pStyle w:val="TableBlock"/>
              <w:keepLines w:val="0"/>
              <w:tabs>
                <w:tab w:val="clear" w:pos="624"/>
                <w:tab w:val="clear" w:pos="1247"/>
                <w:tab w:val="left" w:pos="155"/>
              </w:tabs>
              <w:rPr>
                <w:sz w:val="26"/>
                <w:rtl/>
              </w:rPr>
            </w:pPr>
            <w:r w:rsidRPr="00B9059E">
              <w:rPr>
                <w:rFonts w:hint="cs"/>
                <w:sz w:val="26"/>
                <w:rtl/>
              </w:rPr>
              <w:t>(ה3) הוראות סעיפים  15(ב) עד 15(ה) לא יחולו על עסקאות כמפורט להלן:</w:t>
            </w:r>
          </w:p>
          <w:p w:rsidR="00AC5E52" w:rsidRDefault="00AC5E52" w:rsidP="0027049A">
            <w:pPr>
              <w:pStyle w:val="TableBlock"/>
              <w:keepLines w:val="0"/>
              <w:tabs>
                <w:tab w:val="clear" w:pos="624"/>
                <w:tab w:val="clear" w:pos="1247"/>
                <w:tab w:val="left" w:pos="155"/>
              </w:tabs>
              <w:rPr>
                <w:sz w:val="26"/>
                <w:rtl/>
              </w:rPr>
            </w:pPr>
            <w:r>
              <w:rPr>
                <w:rFonts w:hint="cs"/>
                <w:sz w:val="26"/>
                <w:rtl/>
              </w:rPr>
              <w:t xml:space="preserve">     </w:t>
            </w:r>
            <w:r w:rsidR="00BE24CA" w:rsidRPr="00B9059E">
              <w:rPr>
                <w:rFonts w:hint="cs"/>
                <w:sz w:val="26"/>
                <w:rtl/>
              </w:rPr>
              <w:t xml:space="preserve">(1)  מכירת דירת מגורים מזכה  שהתבקש בשלה פטור לפי פרק </w:t>
            </w:r>
            <w:r>
              <w:rPr>
                <w:rFonts w:hint="cs"/>
                <w:sz w:val="26"/>
                <w:rtl/>
              </w:rPr>
              <w:t xml:space="preserve"> </w:t>
            </w:r>
            <w:r>
              <w:rPr>
                <w:sz w:val="26"/>
                <w:rtl/>
              </w:rPr>
              <w:br/>
            </w:r>
            <w:r>
              <w:rPr>
                <w:sz w:val="26"/>
              </w:rPr>
              <w:t xml:space="preserve">          </w:t>
            </w:r>
            <w:r w:rsidR="00BE24CA" w:rsidRPr="00B9059E">
              <w:rPr>
                <w:rFonts w:hint="cs"/>
                <w:sz w:val="26"/>
                <w:rtl/>
              </w:rPr>
              <w:t xml:space="preserve">חמישי 1. </w:t>
            </w:r>
          </w:p>
          <w:p w:rsidR="00BE24CA" w:rsidRPr="00B9059E" w:rsidRDefault="00AC5E52" w:rsidP="00AC5E52">
            <w:pPr>
              <w:pStyle w:val="TableBlock"/>
              <w:keepLines w:val="0"/>
              <w:tabs>
                <w:tab w:val="clear" w:pos="624"/>
                <w:tab w:val="clear" w:pos="1247"/>
                <w:tab w:val="left" w:pos="155"/>
              </w:tabs>
              <w:rPr>
                <w:sz w:val="26"/>
                <w:rtl/>
              </w:rPr>
            </w:pPr>
            <w:r>
              <w:rPr>
                <w:rFonts w:hint="cs"/>
                <w:sz w:val="26"/>
                <w:rtl/>
              </w:rPr>
              <w:t xml:space="preserve">     </w:t>
            </w:r>
            <w:r w:rsidR="00BE24CA" w:rsidRPr="00B9059E">
              <w:rPr>
                <w:rFonts w:hint="cs"/>
                <w:sz w:val="26"/>
                <w:rtl/>
              </w:rPr>
              <w:t xml:space="preserve">(2) </w:t>
            </w:r>
            <w:r>
              <w:rPr>
                <w:rFonts w:hint="cs"/>
                <w:sz w:val="26"/>
                <w:rtl/>
              </w:rPr>
              <w:t xml:space="preserve"> </w:t>
            </w:r>
            <w:r w:rsidR="00BE24CA" w:rsidRPr="00B9059E">
              <w:rPr>
                <w:rFonts w:hint="cs"/>
                <w:sz w:val="26"/>
                <w:rtl/>
              </w:rPr>
              <w:t xml:space="preserve">מכירת זכות במקרקעין שהתבקש  בשלה פטור לפי סעיף 72. (3) </w:t>
            </w:r>
            <w:r>
              <w:rPr>
                <w:sz w:val="26"/>
                <w:rtl/>
              </w:rPr>
              <w:br/>
            </w:r>
            <w:r>
              <w:rPr>
                <w:sz w:val="26"/>
              </w:rPr>
              <w:t xml:space="preserve">         </w:t>
            </w:r>
            <w:r w:rsidR="00BE24CA" w:rsidRPr="00B9059E">
              <w:rPr>
                <w:rFonts w:hint="cs"/>
                <w:sz w:val="26"/>
                <w:rtl/>
              </w:rPr>
              <w:t>מכירת זכות במקרקעין שיקבע שר האוצר.</w:t>
            </w:r>
          </w:p>
          <w:p w:rsidR="00BE24CA" w:rsidRPr="00B9059E" w:rsidRDefault="00BE24CA" w:rsidP="0027049A">
            <w:pPr>
              <w:pStyle w:val="TableBlock"/>
              <w:rPr>
                <w:sz w:val="26"/>
                <w:rtl/>
              </w:rPr>
            </w:pPr>
            <w:r w:rsidRPr="00B9059E">
              <w:rPr>
                <w:rFonts w:hint="cs"/>
                <w:sz w:val="26"/>
                <w:rtl/>
              </w:rPr>
              <w:t>(ה4) הרוכש יהא זכאי לאישור לפי סעיף 16 לעניין מס רכישה לאחר חלוף תשעים ימים מיום הצהרתו לפי סעיף 73(ג) ובלבד שבתקופה האמורה לא נערכה שומה לעניין מס רכישה לפי סעיף 78(ב), ובהתקיים כל אלה:</w:t>
            </w:r>
          </w:p>
        </w:tc>
      </w:tr>
      <w:tr w:rsidR="0027049A" w:rsidRPr="00B9059E" w:rsidTr="00C360B7">
        <w:trPr>
          <w:cantSplit/>
        </w:trPr>
        <w:tc>
          <w:tcPr>
            <w:tcW w:w="1871" w:type="dxa"/>
          </w:tcPr>
          <w:p w:rsidR="0027049A" w:rsidRPr="00B9059E" w:rsidRDefault="0027049A">
            <w:pPr>
              <w:pStyle w:val="TableSideHeading"/>
              <w:rPr>
                <w:sz w:val="26"/>
              </w:rPr>
            </w:pPr>
          </w:p>
        </w:tc>
        <w:tc>
          <w:tcPr>
            <w:tcW w:w="624" w:type="dxa"/>
          </w:tcPr>
          <w:p w:rsidR="0027049A" w:rsidRPr="00B9059E" w:rsidRDefault="0027049A" w:rsidP="0027049A">
            <w:pPr>
              <w:pStyle w:val="TableText"/>
            </w:pPr>
          </w:p>
        </w:tc>
        <w:tc>
          <w:tcPr>
            <w:tcW w:w="624" w:type="dxa"/>
          </w:tcPr>
          <w:p w:rsidR="0027049A" w:rsidRPr="00B9059E" w:rsidRDefault="0027049A">
            <w:pPr>
              <w:pStyle w:val="TableText"/>
              <w:rPr>
                <w:sz w:val="26"/>
              </w:rPr>
            </w:pPr>
          </w:p>
        </w:tc>
        <w:tc>
          <w:tcPr>
            <w:tcW w:w="6519" w:type="dxa"/>
          </w:tcPr>
          <w:p w:rsidR="0027049A" w:rsidRPr="00B9059E" w:rsidRDefault="0027049A" w:rsidP="0027049A">
            <w:pPr>
              <w:pStyle w:val="TableBlock"/>
              <w:rPr>
                <w:sz w:val="26"/>
                <w:rtl/>
              </w:rPr>
            </w:pPr>
          </w:p>
        </w:tc>
      </w:tr>
      <w:tr w:rsidR="00BE24CA" w:rsidRPr="00B9059E" w:rsidTr="00C360B7">
        <w:trPr>
          <w:cantSplit/>
        </w:trPr>
        <w:tc>
          <w:tcPr>
            <w:tcW w:w="1871" w:type="dxa"/>
          </w:tcPr>
          <w:p w:rsidR="00BE24CA" w:rsidRPr="00B9059E" w:rsidRDefault="00BE24CA">
            <w:pPr>
              <w:pStyle w:val="TableSideHeading"/>
              <w:rPr>
                <w:sz w:val="26"/>
              </w:rPr>
            </w:pPr>
          </w:p>
        </w:tc>
        <w:tc>
          <w:tcPr>
            <w:tcW w:w="624" w:type="dxa"/>
          </w:tcPr>
          <w:p w:rsidR="00BE24CA" w:rsidRPr="00B9059E" w:rsidRDefault="00BE24CA" w:rsidP="00BE24CA">
            <w:pPr>
              <w:pStyle w:val="TableText"/>
              <w:rPr>
                <w:sz w:val="26"/>
              </w:rPr>
            </w:pPr>
          </w:p>
        </w:tc>
        <w:tc>
          <w:tcPr>
            <w:tcW w:w="624" w:type="dxa"/>
          </w:tcPr>
          <w:p w:rsidR="00BE24CA" w:rsidRPr="00B9059E" w:rsidRDefault="00BE24CA">
            <w:pPr>
              <w:pStyle w:val="TableText"/>
              <w:rPr>
                <w:sz w:val="26"/>
              </w:rPr>
            </w:pPr>
          </w:p>
        </w:tc>
        <w:tc>
          <w:tcPr>
            <w:tcW w:w="6519" w:type="dxa"/>
          </w:tcPr>
          <w:p w:rsidR="00BE24CA" w:rsidRPr="00B9059E" w:rsidRDefault="00BE24CA" w:rsidP="00C360B7">
            <w:pPr>
              <w:pStyle w:val="TableBlock"/>
              <w:numPr>
                <w:ilvl w:val="0"/>
                <w:numId w:val="7"/>
              </w:numPr>
              <w:tabs>
                <w:tab w:val="left" w:pos="624"/>
              </w:tabs>
              <w:rPr>
                <w:b/>
                <w:bCs/>
                <w:sz w:val="26"/>
              </w:rPr>
            </w:pPr>
            <w:r w:rsidRPr="00B9059E">
              <w:rPr>
                <w:rFonts w:hint="cs"/>
                <w:sz w:val="26"/>
                <w:rtl/>
              </w:rPr>
              <w:t>ביקש הרוכש הקלה או פטור ממס רכישה בהתאם לסעיף 9 והתקנות שהותקנו מכוחו, יצרף  במועד הדיווח כאמור בסעיף 73(ג) את המסמכים להוכחת זכאותו להקלה או לפטור כאמור, לרבות כל מסמך אחר שביקש המנהל, וזאת תוך פרק הזמן האמור.</w:t>
            </w:r>
          </w:p>
          <w:p w:rsidR="00BE24CA" w:rsidRPr="00B9059E" w:rsidRDefault="00BE24CA" w:rsidP="00BE24CA">
            <w:pPr>
              <w:pStyle w:val="TableBlock"/>
              <w:rPr>
                <w:sz w:val="26"/>
                <w:rtl/>
              </w:rPr>
            </w:pPr>
          </w:p>
        </w:tc>
      </w:tr>
      <w:tr w:rsidR="002A0ADA" w:rsidRPr="00B9059E" w:rsidTr="00C360B7">
        <w:trPr>
          <w:cantSplit/>
        </w:trPr>
        <w:tc>
          <w:tcPr>
            <w:tcW w:w="1871" w:type="dxa"/>
          </w:tcPr>
          <w:p w:rsidR="002A0ADA" w:rsidRPr="00B9059E" w:rsidRDefault="002A0ADA">
            <w:pPr>
              <w:pStyle w:val="TableSideHeading"/>
              <w:rPr>
                <w:sz w:val="26"/>
              </w:rPr>
            </w:pPr>
          </w:p>
        </w:tc>
        <w:tc>
          <w:tcPr>
            <w:tcW w:w="624" w:type="dxa"/>
          </w:tcPr>
          <w:p w:rsidR="002A0ADA" w:rsidRPr="00B9059E" w:rsidRDefault="002A0ADA" w:rsidP="002A0ADA">
            <w:pPr>
              <w:pStyle w:val="TableText"/>
              <w:rPr>
                <w:sz w:val="26"/>
              </w:rPr>
            </w:pPr>
          </w:p>
        </w:tc>
        <w:tc>
          <w:tcPr>
            <w:tcW w:w="624" w:type="dxa"/>
          </w:tcPr>
          <w:p w:rsidR="002A0ADA" w:rsidRPr="00B9059E" w:rsidRDefault="002A0ADA">
            <w:pPr>
              <w:pStyle w:val="TableText"/>
              <w:rPr>
                <w:sz w:val="26"/>
              </w:rPr>
            </w:pPr>
          </w:p>
        </w:tc>
        <w:tc>
          <w:tcPr>
            <w:tcW w:w="6519" w:type="dxa"/>
          </w:tcPr>
          <w:p w:rsidR="002A0ADA" w:rsidRPr="00B9059E" w:rsidRDefault="002A0ADA" w:rsidP="00C360B7">
            <w:pPr>
              <w:pStyle w:val="TableBlock"/>
              <w:numPr>
                <w:ilvl w:val="0"/>
                <w:numId w:val="7"/>
              </w:numPr>
              <w:tabs>
                <w:tab w:val="left" w:pos="624"/>
              </w:tabs>
              <w:rPr>
                <w:sz w:val="26"/>
                <w:rtl/>
              </w:rPr>
            </w:pPr>
            <w:r w:rsidRPr="00B9059E">
              <w:rPr>
                <w:rFonts w:hint="cs"/>
                <w:sz w:val="26"/>
                <w:rtl/>
              </w:rPr>
              <w:t>הרוכש שילם את מס הרכישה המגיע ממנו בהתאם לשומתו העצמית במועד הקבוע בסעיף 90א.</w:t>
            </w:r>
          </w:p>
        </w:tc>
      </w:tr>
      <w:tr w:rsidR="00C360B7" w:rsidRPr="00B9059E" w:rsidTr="00C360B7">
        <w:trPr>
          <w:cantSplit/>
        </w:trPr>
        <w:tc>
          <w:tcPr>
            <w:tcW w:w="1871" w:type="dxa"/>
          </w:tcPr>
          <w:p w:rsidR="00C360B7" w:rsidRPr="00B9059E" w:rsidRDefault="00C360B7">
            <w:pPr>
              <w:pStyle w:val="TableSideHeading"/>
              <w:rPr>
                <w:sz w:val="26"/>
              </w:rPr>
            </w:pPr>
          </w:p>
        </w:tc>
        <w:tc>
          <w:tcPr>
            <w:tcW w:w="624" w:type="dxa"/>
          </w:tcPr>
          <w:p w:rsidR="00C360B7" w:rsidRPr="00B9059E" w:rsidRDefault="00C360B7" w:rsidP="00C360B7">
            <w:pPr>
              <w:pStyle w:val="TableText"/>
              <w:rPr>
                <w:sz w:val="26"/>
              </w:rPr>
            </w:pPr>
          </w:p>
        </w:tc>
        <w:tc>
          <w:tcPr>
            <w:tcW w:w="624" w:type="dxa"/>
          </w:tcPr>
          <w:p w:rsidR="00C360B7" w:rsidRPr="00B9059E" w:rsidRDefault="00C360B7">
            <w:pPr>
              <w:pStyle w:val="TableText"/>
              <w:rPr>
                <w:sz w:val="26"/>
              </w:rPr>
            </w:pPr>
          </w:p>
        </w:tc>
        <w:tc>
          <w:tcPr>
            <w:tcW w:w="6519" w:type="dxa"/>
          </w:tcPr>
          <w:p w:rsidR="00C360B7" w:rsidRPr="00B9059E" w:rsidRDefault="00C360B7" w:rsidP="00C360B7">
            <w:pPr>
              <w:pStyle w:val="TableBlock"/>
              <w:numPr>
                <w:ilvl w:val="0"/>
                <w:numId w:val="7"/>
              </w:numPr>
              <w:tabs>
                <w:tab w:val="left" w:pos="624"/>
              </w:tabs>
              <w:rPr>
                <w:sz w:val="26"/>
                <w:rtl/>
              </w:rPr>
            </w:pPr>
            <w:r w:rsidRPr="00B9059E">
              <w:rPr>
                <w:rFonts w:hint="cs"/>
                <w:sz w:val="26"/>
                <w:rtl/>
              </w:rPr>
              <w:t>שולמה המקדמה בהתאם לאמור בסעיף 15(ב).</w:t>
            </w:r>
          </w:p>
        </w:tc>
      </w:tr>
      <w:tr w:rsidR="00C360B7" w:rsidRPr="00B9059E" w:rsidTr="00C360B7">
        <w:trPr>
          <w:cantSplit/>
        </w:trPr>
        <w:tc>
          <w:tcPr>
            <w:tcW w:w="1871" w:type="dxa"/>
          </w:tcPr>
          <w:p w:rsidR="00C360B7" w:rsidRPr="00B9059E" w:rsidRDefault="00C360B7" w:rsidP="007E751D">
            <w:pPr>
              <w:pStyle w:val="TableSideHeading"/>
              <w:keepLines w:val="0"/>
              <w:rPr>
                <w:sz w:val="26"/>
              </w:rPr>
            </w:pPr>
            <w:r w:rsidRPr="00B9059E">
              <w:rPr>
                <w:rFonts w:hint="cs"/>
                <w:sz w:val="26"/>
                <w:rtl/>
              </w:rPr>
              <w:t>תיקון סעיף 111</w:t>
            </w:r>
          </w:p>
        </w:tc>
        <w:tc>
          <w:tcPr>
            <w:tcW w:w="624" w:type="dxa"/>
          </w:tcPr>
          <w:p w:rsidR="00C360B7" w:rsidRPr="00B9059E" w:rsidRDefault="00C360B7" w:rsidP="00C360B7">
            <w:pPr>
              <w:pStyle w:val="TableText"/>
              <w:keepLines w:val="0"/>
              <w:numPr>
                <w:ilvl w:val="0"/>
                <w:numId w:val="1"/>
              </w:numPr>
              <w:rPr>
                <w:sz w:val="26"/>
              </w:rPr>
            </w:pPr>
          </w:p>
        </w:tc>
        <w:tc>
          <w:tcPr>
            <w:tcW w:w="7143" w:type="dxa"/>
            <w:gridSpan w:val="2"/>
          </w:tcPr>
          <w:p w:rsidR="00C360B7" w:rsidRPr="00B9059E" w:rsidRDefault="00C360B7" w:rsidP="00C360B7">
            <w:pPr>
              <w:pStyle w:val="TableBlock"/>
              <w:rPr>
                <w:sz w:val="26"/>
              </w:rPr>
            </w:pPr>
            <w:r w:rsidRPr="00B9059E">
              <w:rPr>
                <w:rFonts w:hint="cs"/>
                <w:sz w:val="26"/>
                <w:rtl/>
              </w:rPr>
              <w:t>בסיפא, במקום  "והסמכות לקבל כופר כסף לפי סעיף 101" יבוא "הסמכות לקבל כופר כסף לפי סעיף 101, והסמכות לדון בבקשה לעיון חוזר כאמור בסעיף 15(ה1).";</w:t>
            </w:r>
          </w:p>
        </w:tc>
      </w:tr>
      <w:tr w:rsidR="00C360B7" w:rsidRPr="00B9059E" w:rsidTr="00C360B7">
        <w:trPr>
          <w:cantSplit/>
        </w:trPr>
        <w:tc>
          <w:tcPr>
            <w:tcW w:w="1871" w:type="dxa"/>
          </w:tcPr>
          <w:p w:rsidR="00C360B7" w:rsidRPr="00B9059E" w:rsidRDefault="00C360B7" w:rsidP="007E751D">
            <w:pPr>
              <w:pStyle w:val="TableSideHeading"/>
              <w:keepLines w:val="0"/>
              <w:rPr>
                <w:sz w:val="26"/>
              </w:rPr>
            </w:pPr>
            <w:r w:rsidRPr="00B9059E">
              <w:rPr>
                <w:rFonts w:hint="cs"/>
                <w:sz w:val="26"/>
                <w:rtl/>
              </w:rPr>
              <w:t>תיקון  לחוק לשינוי נטל המס (תיקוני חקיקה), התשע"ב - 2011</w:t>
            </w:r>
          </w:p>
        </w:tc>
        <w:tc>
          <w:tcPr>
            <w:tcW w:w="624" w:type="dxa"/>
          </w:tcPr>
          <w:p w:rsidR="00C360B7" w:rsidRPr="00B9059E" w:rsidRDefault="00C360B7" w:rsidP="00C360B7">
            <w:pPr>
              <w:pStyle w:val="TableText"/>
              <w:keepLines w:val="0"/>
              <w:numPr>
                <w:ilvl w:val="0"/>
                <w:numId w:val="1"/>
              </w:numPr>
              <w:rPr>
                <w:sz w:val="26"/>
              </w:rPr>
            </w:pPr>
          </w:p>
        </w:tc>
        <w:tc>
          <w:tcPr>
            <w:tcW w:w="7143" w:type="dxa"/>
            <w:gridSpan w:val="2"/>
          </w:tcPr>
          <w:p w:rsidR="00C360B7" w:rsidRPr="00B9059E" w:rsidRDefault="00C360B7" w:rsidP="00C360B7">
            <w:pPr>
              <w:pStyle w:val="TableBlock"/>
              <w:rPr>
                <w:b/>
                <w:bCs/>
                <w:sz w:val="26"/>
                <w:rtl/>
              </w:rPr>
            </w:pPr>
            <w:r w:rsidRPr="00B9059E">
              <w:rPr>
                <w:rFonts w:hint="cs"/>
                <w:sz w:val="26"/>
                <w:rtl/>
              </w:rPr>
              <w:t xml:space="preserve">סעיף 2(1) לחוק </w:t>
            </w:r>
            <w:r w:rsidRPr="00B9059E">
              <w:rPr>
                <w:sz w:val="26"/>
                <w:rtl/>
              </w:rPr>
              <w:t>–</w:t>
            </w:r>
            <w:r w:rsidRPr="00B9059E">
              <w:rPr>
                <w:rFonts w:hint="cs"/>
                <w:sz w:val="26"/>
                <w:rtl/>
              </w:rPr>
              <w:t xml:space="preserve"> בטל ;</w:t>
            </w:r>
          </w:p>
          <w:p w:rsidR="00C360B7" w:rsidRPr="00B9059E" w:rsidRDefault="00C360B7" w:rsidP="007E751D">
            <w:pPr>
              <w:pStyle w:val="TableBlock"/>
              <w:keepLines w:val="0"/>
              <w:rPr>
                <w:sz w:val="26"/>
              </w:rPr>
            </w:pPr>
          </w:p>
        </w:tc>
      </w:tr>
      <w:tr w:rsidR="00C360B7" w:rsidRPr="00B9059E" w:rsidTr="00C360B7">
        <w:trPr>
          <w:cantSplit/>
        </w:trPr>
        <w:tc>
          <w:tcPr>
            <w:tcW w:w="1871" w:type="dxa"/>
          </w:tcPr>
          <w:p w:rsidR="00C360B7" w:rsidRPr="00B9059E" w:rsidRDefault="00C360B7" w:rsidP="007E751D">
            <w:pPr>
              <w:pStyle w:val="TableSideHeading"/>
              <w:keepLines w:val="0"/>
              <w:rPr>
                <w:sz w:val="26"/>
              </w:rPr>
            </w:pPr>
            <w:r w:rsidRPr="00B9059E">
              <w:rPr>
                <w:rFonts w:hint="cs"/>
                <w:sz w:val="26"/>
                <w:rtl/>
              </w:rPr>
              <w:t>תחילה, תחולה והוראת שעה לשנת המס 2014 עד 2017</w:t>
            </w:r>
          </w:p>
        </w:tc>
        <w:tc>
          <w:tcPr>
            <w:tcW w:w="624" w:type="dxa"/>
          </w:tcPr>
          <w:p w:rsidR="00C360B7" w:rsidRPr="00B9059E" w:rsidRDefault="00C360B7" w:rsidP="00C360B7">
            <w:pPr>
              <w:pStyle w:val="TableText"/>
              <w:keepLines w:val="0"/>
              <w:numPr>
                <w:ilvl w:val="0"/>
                <w:numId w:val="1"/>
              </w:numPr>
              <w:rPr>
                <w:sz w:val="26"/>
              </w:rPr>
            </w:pPr>
          </w:p>
        </w:tc>
        <w:tc>
          <w:tcPr>
            <w:tcW w:w="7143" w:type="dxa"/>
            <w:gridSpan w:val="2"/>
          </w:tcPr>
          <w:p w:rsidR="00C360B7" w:rsidRPr="00B9059E" w:rsidRDefault="00C360B7" w:rsidP="00C360B7">
            <w:pPr>
              <w:pStyle w:val="TableBlock"/>
              <w:numPr>
                <w:ilvl w:val="0"/>
                <w:numId w:val="8"/>
              </w:numPr>
              <w:tabs>
                <w:tab w:val="left" w:pos="624"/>
              </w:tabs>
              <w:rPr>
                <w:sz w:val="26"/>
              </w:rPr>
            </w:pPr>
            <w:r w:rsidRPr="00B9059E">
              <w:rPr>
                <w:rFonts w:hint="cs"/>
                <w:sz w:val="26"/>
                <w:rtl/>
              </w:rPr>
              <w:t xml:space="preserve">תחילתו של חוק זה ביום כ"ט בטבת תשע"ד (1 בינואר 2014), והוא יחול על מכירת זכות במקרקעין ביום האמור ואילך;                          </w:t>
            </w:r>
          </w:p>
        </w:tc>
      </w:tr>
    </w:tbl>
    <w:p w:rsidR="00211340" w:rsidRPr="00B9059E" w:rsidRDefault="00211340" w:rsidP="00AC5E52">
      <w:pPr>
        <w:pStyle w:val="HeadDivreiHesber"/>
        <w:tabs>
          <w:tab w:val="left" w:pos="567"/>
        </w:tabs>
        <w:ind w:left="283"/>
        <w:jc w:val="both"/>
        <w:rPr>
          <w:b w:val="0"/>
          <w:bCs/>
          <w:sz w:val="26"/>
          <w:u w:val="single"/>
          <w:rtl/>
        </w:rPr>
      </w:pPr>
    </w:p>
    <w:sectPr w:rsidR="00211340" w:rsidRPr="00B9059E" w:rsidSect="0043477B">
      <w:headerReference w:type="even" r:id="rId12"/>
      <w:headerReference w:type="default" r:id="rId13"/>
      <w:footerReference w:type="even" r:id="rId14"/>
      <w:footerReference w:type="default" r:id="rId15"/>
      <w:headerReference w:type="first" r:id="rId16"/>
      <w:footerReference w:type="first" r:id="rId17"/>
      <w:pgSz w:w="11907" w:h="16840" w:code="9"/>
      <w:pgMar w:top="822" w:right="1134" w:bottom="1134" w:left="1134" w:header="284" w:footer="680" w:gutter="0"/>
      <w:cols w:space="720"/>
      <w:noEndnote/>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F8" w:rsidRDefault="001E3EF8">
      <w:r>
        <w:separator/>
      </w:r>
    </w:p>
  </w:endnote>
  <w:endnote w:type="continuationSeparator" w:id="0">
    <w:p w:rsidR="001E3EF8" w:rsidRDefault="001E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7B" w:rsidRDefault="0043477B" w:rsidP="004274C2">
    <w:pPr>
      <w:pStyle w:val="a9"/>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rsidR="0043477B" w:rsidRDefault="0043477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7B" w:rsidRPr="00293537" w:rsidRDefault="0043477B" w:rsidP="00293537">
    <w:pPr>
      <w:pStyle w:val="a9"/>
      <w:framePr w:wrap="around" w:vAnchor="text" w:hAnchor="page" w:x="5782" w:y="55"/>
      <w:rPr>
        <w:rStyle w:val="aa"/>
        <w:rFonts w:cs="David"/>
        <w:sz w:val="26"/>
        <w:szCs w:val="26"/>
      </w:rPr>
    </w:pPr>
    <w:r w:rsidRPr="00293537">
      <w:rPr>
        <w:rStyle w:val="aa"/>
        <w:rFonts w:cs="David"/>
        <w:sz w:val="26"/>
        <w:szCs w:val="26"/>
        <w:rtl/>
      </w:rPr>
      <w:fldChar w:fldCharType="begin"/>
    </w:r>
    <w:r w:rsidRPr="00293537">
      <w:rPr>
        <w:rStyle w:val="aa"/>
        <w:rFonts w:cs="David"/>
        <w:sz w:val="26"/>
        <w:szCs w:val="26"/>
      </w:rPr>
      <w:instrText xml:space="preserve">PAGE  </w:instrText>
    </w:r>
    <w:r w:rsidRPr="00293537">
      <w:rPr>
        <w:rStyle w:val="aa"/>
        <w:rFonts w:cs="David"/>
        <w:sz w:val="26"/>
        <w:szCs w:val="26"/>
        <w:rtl/>
      </w:rPr>
      <w:fldChar w:fldCharType="separate"/>
    </w:r>
    <w:r w:rsidR="00DD6F69">
      <w:rPr>
        <w:rStyle w:val="aa"/>
        <w:rFonts w:cs="David"/>
        <w:noProof/>
        <w:sz w:val="26"/>
        <w:szCs w:val="26"/>
        <w:rtl/>
      </w:rPr>
      <w:t>6</w:t>
    </w:r>
    <w:r w:rsidRPr="00293537">
      <w:rPr>
        <w:rStyle w:val="aa"/>
        <w:rFonts w:cs="David"/>
        <w:sz w:val="26"/>
        <w:szCs w:val="26"/>
        <w:rtl/>
      </w:rPr>
      <w:fldChar w:fldCharType="end"/>
    </w:r>
  </w:p>
  <w:p w:rsidR="0043477B" w:rsidRDefault="0043477B" w:rsidP="0043477B">
    <w:pPr>
      <w:pStyle w:val="a9"/>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7B" w:rsidRDefault="0043477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F8" w:rsidRDefault="001E3EF8">
      <w:pPr>
        <w:ind w:firstLine="0"/>
      </w:pPr>
      <w:r>
        <w:separator/>
      </w:r>
    </w:p>
  </w:footnote>
  <w:footnote w:type="continuationSeparator" w:id="0">
    <w:p w:rsidR="001E3EF8" w:rsidRDefault="001E3EF8">
      <w:r>
        <w:continuationSeparator/>
      </w:r>
    </w:p>
  </w:footnote>
  <w:footnote w:type="continuationNotice" w:id="1">
    <w:p w:rsidR="001E3EF8" w:rsidRDefault="001E3EF8"/>
  </w:footnote>
  <w:footnote w:id="2">
    <w:p w:rsidR="00B9059E" w:rsidRDefault="00B9059E" w:rsidP="00B9059E">
      <w:pPr>
        <w:pStyle w:val="a4"/>
      </w:pPr>
      <w:r>
        <w:rPr>
          <w:rStyle w:val="a6"/>
        </w:rPr>
        <w:footnoteRef/>
      </w:r>
      <w:r>
        <w:rPr>
          <w:rFonts w:hint="cs"/>
          <w:rtl/>
        </w:rPr>
        <w:t>ס"ח 2281 התשע"א, מיום 15.3.2011, עמ' 402.</w:t>
      </w:r>
    </w:p>
  </w:footnote>
  <w:footnote w:id="3">
    <w:p w:rsidR="00B9059E" w:rsidRPr="00AC5E52" w:rsidRDefault="00B9059E" w:rsidP="00B9059E">
      <w:pPr>
        <w:pStyle w:val="a4"/>
        <w:rPr>
          <w:color w:val="auto"/>
        </w:rPr>
      </w:pPr>
      <w:r>
        <w:rPr>
          <w:rStyle w:val="a6"/>
        </w:rPr>
        <w:footnoteRef/>
      </w:r>
      <w:r>
        <w:rPr>
          <w:rFonts w:hint="cs"/>
          <w:rtl/>
        </w:rPr>
        <w:t xml:space="preserve">קובץ תקנות 7249, מיום 13.5.2013, עמ' </w:t>
      </w:r>
      <w:r w:rsidRPr="00AC5E52">
        <w:rPr>
          <w:rFonts w:hint="cs"/>
          <w:color w:val="auto"/>
          <w:rtl/>
        </w:rPr>
        <w:t>1196 וקובץ תקנות 7292 מיום 1.10.2013, עמ' 38.</w:t>
      </w:r>
    </w:p>
  </w:footnote>
  <w:footnote w:id="4">
    <w:p w:rsidR="00415916" w:rsidRDefault="00415916" w:rsidP="00415916">
      <w:pPr>
        <w:pStyle w:val="a4"/>
      </w:pPr>
      <w:r>
        <w:rPr>
          <w:rStyle w:val="a6"/>
        </w:rPr>
        <w:footnoteRef/>
      </w:r>
      <w:r>
        <w:rPr>
          <w:rFonts w:hint="cs"/>
          <w:rtl/>
        </w:rPr>
        <w:t>ס"ח התשכ"ג, עמ' 156;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7B" w:rsidRDefault="0043477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7B" w:rsidRDefault="0043477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7B" w:rsidRDefault="0043477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4059"/>
    <w:multiLevelType w:val="hybridMultilevel"/>
    <w:tmpl w:val="860027C0"/>
    <w:lvl w:ilvl="0" w:tplc="74648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857B3"/>
    <w:multiLevelType w:val="hybridMultilevel"/>
    <w:tmpl w:val="905A5D58"/>
    <w:lvl w:ilvl="0" w:tplc="6BB09BE0">
      <w:start w:val="1"/>
      <w:numFmt w:val="decimal"/>
      <w:lvlRestart w:val="0"/>
      <w:lvlText w:val="(%1)"/>
      <w:lvlJc w:val="left"/>
      <w:pPr>
        <w:tabs>
          <w:tab w:val="num" w:pos="62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83195"/>
    <w:multiLevelType w:val="hybridMultilevel"/>
    <w:tmpl w:val="B9FC957C"/>
    <w:lvl w:ilvl="0" w:tplc="A220544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276E0"/>
    <w:multiLevelType w:val="hybridMultilevel"/>
    <w:tmpl w:val="94B200B0"/>
    <w:lvl w:ilvl="0" w:tplc="7428B36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6261F8"/>
    <w:multiLevelType w:val="hybridMultilevel"/>
    <w:tmpl w:val="0CD6EE4A"/>
    <w:lvl w:ilvl="0" w:tplc="3A343CEC">
      <w:start w:val="1"/>
      <w:numFmt w:val="hebrew1"/>
      <w:lvlRestart w:val="0"/>
      <w:lvlText w:val="(%1)"/>
      <w:lvlJc w:val="left"/>
      <w:pPr>
        <w:tabs>
          <w:tab w:val="num" w:pos="624"/>
        </w:tabs>
        <w:ind w:left="0" w:firstLine="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2E0316"/>
    <w:multiLevelType w:val="hybridMultilevel"/>
    <w:tmpl w:val="03122722"/>
    <w:lvl w:ilvl="0" w:tplc="01F0A07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BA790E"/>
    <w:multiLevelType w:val="hybridMultilevel"/>
    <w:tmpl w:val="A74A5606"/>
    <w:lvl w:ilvl="0" w:tplc="BA7CCC1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3C544D"/>
    <w:multiLevelType w:val="hybridMultilevel"/>
    <w:tmpl w:val="655E3E9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10C8321E">
      <w:start w:val="1"/>
      <w:numFmt w:val="decimal"/>
      <w:lvlText w:val="(%3)"/>
      <w:lvlJc w:val="left"/>
      <w:pPr>
        <w:tabs>
          <w:tab w:val="num" w:pos="624"/>
        </w:tabs>
        <w:ind w:left="0" w:firstLine="0"/>
      </w:pPr>
      <w:rPr>
        <w:rFonts w:ascii="Arial" w:eastAsia="Arial Unicode MS" w:hAnsi="Arial" w:cs="David"/>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F87AB8"/>
    <w:multiLevelType w:val="hybridMultilevel"/>
    <w:tmpl w:val="8BACB126"/>
    <w:lvl w:ilvl="0" w:tplc="BA7CCC1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8"/>
  </w:num>
  <w:num w:numId="5">
    <w:abstractNumId w:val="0"/>
  </w:num>
  <w:num w:numId="6">
    <w:abstractNumId w:val="5"/>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DF"/>
    <w:rsid w:val="00001778"/>
    <w:rsid w:val="00011BA0"/>
    <w:rsid w:val="00011C4D"/>
    <w:rsid w:val="0003252C"/>
    <w:rsid w:val="00043CE4"/>
    <w:rsid w:val="00080B43"/>
    <w:rsid w:val="00084A3D"/>
    <w:rsid w:val="000A2B18"/>
    <w:rsid w:val="000D3CAA"/>
    <w:rsid w:val="000E2AF8"/>
    <w:rsid w:val="00137CF2"/>
    <w:rsid w:val="00142D93"/>
    <w:rsid w:val="00147CAE"/>
    <w:rsid w:val="00157888"/>
    <w:rsid w:val="00161837"/>
    <w:rsid w:val="00162B97"/>
    <w:rsid w:val="001753B1"/>
    <w:rsid w:val="00194F6C"/>
    <w:rsid w:val="001B1478"/>
    <w:rsid w:val="001B320D"/>
    <w:rsid w:val="001B7CE6"/>
    <w:rsid w:val="001D7024"/>
    <w:rsid w:val="001D70F3"/>
    <w:rsid w:val="001E3EF8"/>
    <w:rsid w:val="001E73F2"/>
    <w:rsid w:val="001E7C1D"/>
    <w:rsid w:val="00200906"/>
    <w:rsid w:val="00201EC5"/>
    <w:rsid w:val="00211340"/>
    <w:rsid w:val="002345C9"/>
    <w:rsid w:val="00256C6A"/>
    <w:rsid w:val="0027049A"/>
    <w:rsid w:val="002723C6"/>
    <w:rsid w:val="00293537"/>
    <w:rsid w:val="002A0ADA"/>
    <w:rsid w:val="002C18C4"/>
    <w:rsid w:val="002D1C18"/>
    <w:rsid w:val="002D445F"/>
    <w:rsid w:val="002E25E5"/>
    <w:rsid w:val="002E32F0"/>
    <w:rsid w:val="00300B11"/>
    <w:rsid w:val="00313568"/>
    <w:rsid w:val="0031416A"/>
    <w:rsid w:val="00322336"/>
    <w:rsid w:val="00334626"/>
    <w:rsid w:val="00346EBA"/>
    <w:rsid w:val="00352C2C"/>
    <w:rsid w:val="00372B59"/>
    <w:rsid w:val="00373BD5"/>
    <w:rsid w:val="00374C5B"/>
    <w:rsid w:val="00384029"/>
    <w:rsid w:val="0039143F"/>
    <w:rsid w:val="00395D16"/>
    <w:rsid w:val="003A663D"/>
    <w:rsid w:val="003B784A"/>
    <w:rsid w:val="003C6FAF"/>
    <w:rsid w:val="003D2471"/>
    <w:rsid w:val="003D49CD"/>
    <w:rsid w:val="00405752"/>
    <w:rsid w:val="00415916"/>
    <w:rsid w:val="004274C2"/>
    <w:rsid w:val="004278FF"/>
    <w:rsid w:val="00430799"/>
    <w:rsid w:val="0043477B"/>
    <w:rsid w:val="004478AF"/>
    <w:rsid w:val="00473196"/>
    <w:rsid w:val="00474A1A"/>
    <w:rsid w:val="0049107E"/>
    <w:rsid w:val="004A7E1E"/>
    <w:rsid w:val="004C6AE5"/>
    <w:rsid w:val="0050052F"/>
    <w:rsid w:val="00501A87"/>
    <w:rsid w:val="00504784"/>
    <w:rsid w:val="005123B1"/>
    <w:rsid w:val="00523C92"/>
    <w:rsid w:val="005275E5"/>
    <w:rsid w:val="005625F4"/>
    <w:rsid w:val="00567FB2"/>
    <w:rsid w:val="00572C04"/>
    <w:rsid w:val="005771C4"/>
    <w:rsid w:val="005C7BC5"/>
    <w:rsid w:val="005D51AE"/>
    <w:rsid w:val="005E2B24"/>
    <w:rsid w:val="005F181C"/>
    <w:rsid w:val="005F63FC"/>
    <w:rsid w:val="00600873"/>
    <w:rsid w:val="0060685C"/>
    <w:rsid w:val="00607770"/>
    <w:rsid w:val="00607881"/>
    <w:rsid w:val="00622152"/>
    <w:rsid w:val="00626E1B"/>
    <w:rsid w:val="00643333"/>
    <w:rsid w:val="00644940"/>
    <w:rsid w:val="0065338F"/>
    <w:rsid w:val="00660C42"/>
    <w:rsid w:val="00662D9D"/>
    <w:rsid w:val="00674761"/>
    <w:rsid w:val="006A3DB5"/>
    <w:rsid w:val="006A73E4"/>
    <w:rsid w:val="006B40B5"/>
    <w:rsid w:val="006B6F30"/>
    <w:rsid w:val="006C5C0E"/>
    <w:rsid w:val="006C6B37"/>
    <w:rsid w:val="006C74B3"/>
    <w:rsid w:val="006D069E"/>
    <w:rsid w:val="006D2D06"/>
    <w:rsid w:val="006E2E9E"/>
    <w:rsid w:val="006E3FFD"/>
    <w:rsid w:val="007053C1"/>
    <w:rsid w:val="00714603"/>
    <w:rsid w:val="00716701"/>
    <w:rsid w:val="00725D36"/>
    <w:rsid w:val="007408DF"/>
    <w:rsid w:val="007651DC"/>
    <w:rsid w:val="00766065"/>
    <w:rsid w:val="0077246A"/>
    <w:rsid w:val="00781C4C"/>
    <w:rsid w:val="0078279D"/>
    <w:rsid w:val="00786188"/>
    <w:rsid w:val="007906D4"/>
    <w:rsid w:val="007A2FB8"/>
    <w:rsid w:val="007A5EA1"/>
    <w:rsid w:val="007A7870"/>
    <w:rsid w:val="007B1C96"/>
    <w:rsid w:val="007B58F1"/>
    <w:rsid w:val="007C0140"/>
    <w:rsid w:val="007F048B"/>
    <w:rsid w:val="007F0670"/>
    <w:rsid w:val="007F0C40"/>
    <w:rsid w:val="008042F1"/>
    <w:rsid w:val="008060B0"/>
    <w:rsid w:val="00807C7E"/>
    <w:rsid w:val="00812C98"/>
    <w:rsid w:val="00816CB3"/>
    <w:rsid w:val="00830F64"/>
    <w:rsid w:val="00837963"/>
    <w:rsid w:val="00850601"/>
    <w:rsid w:val="008674BA"/>
    <w:rsid w:val="008815D0"/>
    <w:rsid w:val="00892A7D"/>
    <w:rsid w:val="00895B21"/>
    <w:rsid w:val="008B2B37"/>
    <w:rsid w:val="008D4643"/>
    <w:rsid w:val="008E6020"/>
    <w:rsid w:val="008F127C"/>
    <w:rsid w:val="008F21A4"/>
    <w:rsid w:val="008F730C"/>
    <w:rsid w:val="00902BAE"/>
    <w:rsid w:val="00912903"/>
    <w:rsid w:val="00923474"/>
    <w:rsid w:val="0093030A"/>
    <w:rsid w:val="00940162"/>
    <w:rsid w:val="00966955"/>
    <w:rsid w:val="00974123"/>
    <w:rsid w:val="00975E3B"/>
    <w:rsid w:val="009776F5"/>
    <w:rsid w:val="00994430"/>
    <w:rsid w:val="009963F6"/>
    <w:rsid w:val="009D6D82"/>
    <w:rsid w:val="009F0E9D"/>
    <w:rsid w:val="009F1C3B"/>
    <w:rsid w:val="009F32FE"/>
    <w:rsid w:val="00A3374B"/>
    <w:rsid w:val="00A5206E"/>
    <w:rsid w:val="00A67BB8"/>
    <w:rsid w:val="00A8154C"/>
    <w:rsid w:val="00A81D7C"/>
    <w:rsid w:val="00A90B31"/>
    <w:rsid w:val="00AA1CC0"/>
    <w:rsid w:val="00AB1FD3"/>
    <w:rsid w:val="00AB7CF4"/>
    <w:rsid w:val="00AC5E52"/>
    <w:rsid w:val="00AD444B"/>
    <w:rsid w:val="00AE40B0"/>
    <w:rsid w:val="00AF6C74"/>
    <w:rsid w:val="00B2218C"/>
    <w:rsid w:val="00B24577"/>
    <w:rsid w:val="00B350EA"/>
    <w:rsid w:val="00B473BA"/>
    <w:rsid w:val="00B50517"/>
    <w:rsid w:val="00B7157A"/>
    <w:rsid w:val="00B859E4"/>
    <w:rsid w:val="00B9059E"/>
    <w:rsid w:val="00B969EC"/>
    <w:rsid w:val="00BB1D40"/>
    <w:rsid w:val="00BE24CA"/>
    <w:rsid w:val="00BE5292"/>
    <w:rsid w:val="00C062F1"/>
    <w:rsid w:val="00C13CAE"/>
    <w:rsid w:val="00C360B7"/>
    <w:rsid w:val="00C5295C"/>
    <w:rsid w:val="00C645D5"/>
    <w:rsid w:val="00C66A55"/>
    <w:rsid w:val="00C75F52"/>
    <w:rsid w:val="00CB4C0A"/>
    <w:rsid w:val="00CC2FCD"/>
    <w:rsid w:val="00CC35D0"/>
    <w:rsid w:val="00CC6BEB"/>
    <w:rsid w:val="00CD0662"/>
    <w:rsid w:val="00CE28D0"/>
    <w:rsid w:val="00CE2900"/>
    <w:rsid w:val="00CF5BDF"/>
    <w:rsid w:val="00CF7619"/>
    <w:rsid w:val="00D04853"/>
    <w:rsid w:val="00D2043B"/>
    <w:rsid w:val="00D35FF0"/>
    <w:rsid w:val="00D52873"/>
    <w:rsid w:val="00D70C27"/>
    <w:rsid w:val="00D7763B"/>
    <w:rsid w:val="00DA6FB0"/>
    <w:rsid w:val="00DB018F"/>
    <w:rsid w:val="00DD6F69"/>
    <w:rsid w:val="00DE2CFD"/>
    <w:rsid w:val="00DE7427"/>
    <w:rsid w:val="00DF3A60"/>
    <w:rsid w:val="00DF6AF7"/>
    <w:rsid w:val="00E11517"/>
    <w:rsid w:val="00E12FD8"/>
    <w:rsid w:val="00E1690D"/>
    <w:rsid w:val="00E23AE2"/>
    <w:rsid w:val="00E315C3"/>
    <w:rsid w:val="00E3570A"/>
    <w:rsid w:val="00E40AC0"/>
    <w:rsid w:val="00E579EA"/>
    <w:rsid w:val="00E659C5"/>
    <w:rsid w:val="00E7024C"/>
    <w:rsid w:val="00E876E5"/>
    <w:rsid w:val="00EB765D"/>
    <w:rsid w:val="00ED7345"/>
    <w:rsid w:val="00F00DF4"/>
    <w:rsid w:val="00F10FBB"/>
    <w:rsid w:val="00F121C1"/>
    <w:rsid w:val="00F4660F"/>
    <w:rsid w:val="00F46EA0"/>
    <w:rsid w:val="00F63DD9"/>
    <w:rsid w:val="00F66533"/>
    <w:rsid w:val="00F6741B"/>
    <w:rsid w:val="00F71CC1"/>
    <w:rsid w:val="00F8027C"/>
    <w:rsid w:val="00F8186C"/>
    <w:rsid w:val="00F87CE4"/>
    <w:rsid w:val="00F9596F"/>
    <w:rsid w:val="00FA1CBB"/>
    <w:rsid w:val="00FB5BD8"/>
    <w:rsid w:val="00FB76CD"/>
    <w:rsid w:val="00FC0222"/>
    <w:rsid w:val="00FC181D"/>
    <w:rsid w:val="00FC318A"/>
    <w:rsid w:val="00FD760F"/>
    <w:rsid w:val="00FE0B4B"/>
    <w:rsid w:val="00FE51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pPr>
      <w:tabs>
        <w:tab w:val="left" w:pos="1191"/>
        <w:tab w:val="left" w:pos="1587"/>
      </w:tabs>
      <w:spacing w:before="240" w:after="240" w:line="480" w:lineRule="auto"/>
      <w:jc w:val="center"/>
    </w:pPr>
  </w:style>
  <w:style w:type="paragraph" w:customStyle="1" w:styleId="Cover2-HatzaotHok">
    <w:name w:val="Cover 2-HatzaotHok"/>
    <w:basedOn w:val="Cover1-Reshumot"/>
    <w:rPr>
      <w:sz w:val="36"/>
      <w:szCs w:val="52"/>
    </w:rPr>
  </w:style>
  <w:style w:type="paragraph" w:customStyle="1" w:styleId="Cover3-Haknesset">
    <w:name w:val="Cover 3-Haknesset"/>
    <w:basedOn w:val="Cover1-Reshumot"/>
    <w:rPr>
      <w:b/>
      <w:bCs/>
      <w:spacing w:val="60"/>
    </w:rPr>
  </w:style>
  <w:style w:type="paragraph" w:customStyle="1" w:styleId="Cover4-Date">
    <w:name w:val="Cover 4-Date"/>
    <w:basedOn w:val="Noparagraphstyle"/>
    <w:pPr>
      <w:pBdr>
        <w:bottom w:val="single" w:sz="4" w:space="0" w:color="auto"/>
      </w:pBdr>
      <w:tabs>
        <w:tab w:val="center" w:pos="4820"/>
        <w:tab w:val="right" w:pos="9639"/>
      </w:tabs>
      <w:spacing w:before="240" w:after="240"/>
    </w:pPr>
  </w:style>
  <w:style w:type="paragraph" w:customStyle="1" w:styleId="TOC">
    <w:name w:val="TOC"/>
    <w:basedOn w:val="Noparagraphstyle"/>
    <w:pPr>
      <w:tabs>
        <w:tab w:val="left" w:leader="dot" w:pos="8789"/>
      </w:tabs>
      <w:spacing w:before="120"/>
      <w:ind w:left="284" w:right="284"/>
    </w:pPr>
  </w:style>
  <w:style w:type="paragraph" w:customStyle="1" w:styleId="TOCpg">
    <w:name w:val="TOC pg"/>
    <w:basedOn w:val="TOC"/>
    <w:pPr>
      <w:spacing w:after="120"/>
      <w:ind w:right="567"/>
      <w:jc w:val="right"/>
    </w:pPr>
  </w:style>
  <w:style w:type="paragraph" w:customStyle="1" w:styleId="HeadMitparsemetBaze">
    <w:name w:val="Head MitparsemetBaze"/>
    <w:basedOn w:val="Noparagraphstyle"/>
    <w:pPr>
      <w:keepNext/>
      <w:keepLines/>
      <w:pageBreakBefore/>
      <w:spacing w:before="480"/>
      <w:jc w:val="both"/>
    </w:pPr>
    <w:rPr>
      <w:b/>
      <w:bCs/>
    </w:rPr>
  </w:style>
  <w:style w:type="paragraph" w:customStyle="1" w:styleId="HeadHatzaotHok">
    <w:name w:val="Head HatzaotHok"/>
    <w:basedOn w:val="Noparagraphstyle"/>
    <w:pPr>
      <w:keepNext/>
      <w:keepLines/>
      <w:spacing w:before="240"/>
      <w:jc w:val="center"/>
    </w:pPr>
    <w:rPr>
      <w:b/>
      <w:bCs/>
    </w:rPr>
  </w:style>
  <w:style w:type="paragraph" w:customStyle="1" w:styleId="HeadHatzaotHok4Futer">
    <w:name w:val="Head HatzaotHok4Futer"/>
    <w:basedOn w:val="HeadHatzaotHok"/>
    <w:pPr>
      <w:spacing w:before="120" w:after="120"/>
    </w:pPr>
    <w:rPr>
      <w:color w:val="FF0000"/>
      <w:w w:val="80"/>
    </w:rPr>
  </w:style>
  <w:style w:type="paragraph" w:styleId="a3">
    <w:name w:val="endnote text"/>
    <w:basedOn w:val="Ragil"/>
    <w:semiHidden/>
    <w:pPr>
      <w:ind w:left="227" w:hanging="227"/>
    </w:pPr>
    <w:rPr>
      <w:sz w:val="14"/>
      <w:szCs w:val="22"/>
    </w:rPr>
  </w:style>
  <w:style w:type="paragraph" w:customStyle="1" w:styleId="TableText">
    <w:name w:val="Table Text"/>
    <w:basedOn w:val="Ragil"/>
    <w:pPr>
      <w:keepLines/>
      <w:tabs>
        <w:tab w:val="left" w:pos="624"/>
        <w:tab w:val="left" w:pos="1247"/>
      </w:tabs>
      <w:ind w:right="57" w:firstLine="0"/>
    </w:pPr>
  </w:style>
  <w:style w:type="paragraph" w:customStyle="1" w:styleId="TableSideHeading">
    <w:name w:val="Table SideHeading"/>
    <w:basedOn w:val="TableText"/>
  </w:style>
  <w:style w:type="paragraph" w:customStyle="1" w:styleId="TableBlock">
    <w:name w:val="Table Block"/>
    <w:basedOn w:val="TableText"/>
    <w:pPr>
      <w:ind w:right="0"/>
      <w:jc w:val="both"/>
    </w:pPr>
  </w:style>
  <w:style w:type="paragraph" w:customStyle="1" w:styleId="TableHead">
    <w:name w:val="Table Head"/>
    <w:basedOn w:val="TableText"/>
    <w:pPr>
      <w:ind w:right="0"/>
      <w:jc w:val="center"/>
    </w:pPr>
    <w:rPr>
      <w:b/>
      <w:bCs/>
    </w:rPr>
  </w:style>
  <w:style w:type="paragraph" w:customStyle="1" w:styleId="TableText2">
    <w:name w:val="Table Text2"/>
    <w:basedOn w:val="TableText"/>
  </w:style>
  <w:style w:type="paragraph" w:customStyle="1" w:styleId="TableInnerSideHeading">
    <w:name w:val="Table InnerSideHeading"/>
    <w:basedOn w:val="TableSideHeading"/>
  </w:style>
  <w:style w:type="paragraph" w:customStyle="1" w:styleId="Hesber">
    <w:name w:val="Hesber"/>
    <w:basedOn w:val="Ragil"/>
    <w:pPr>
      <w:jc w:val="both"/>
    </w:pPr>
  </w:style>
  <w:style w:type="paragraph" w:styleId="a4">
    <w:name w:val="footnote text"/>
    <w:basedOn w:val="Ragil"/>
    <w:link w:val="a5"/>
    <w:autoRedefine/>
    <w:uiPriority w:val="99"/>
    <w:semiHidden/>
    <w:rsid w:val="00644940"/>
    <w:pPr>
      <w:spacing w:line="240" w:lineRule="auto"/>
      <w:ind w:left="227" w:hanging="227"/>
    </w:pPr>
    <w:rPr>
      <w:sz w:val="14"/>
      <w:szCs w:val="20"/>
    </w:rPr>
  </w:style>
  <w:style w:type="character" w:styleId="a6">
    <w:name w:val="footnote reference"/>
    <w:basedOn w:val="a0"/>
    <w:uiPriority w:val="99"/>
    <w:semiHidden/>
    <w:rPr>
      <w:vertAlign w:val="superscript"/>
    </w:rPr>
  </w:style>
  <w:style w:type="paragraph" w:customStyle="1" w:styleId="HesberHeading">
    <w:name w:val="Hesber Heading"/>
    <w:basedOn w:val="Hesber"/>
    <w:pPr>
      <w:keepNext/>
      <w:keepLines/>
      <w:spacing w:before="240"/>
      <w:ind w:firstLine="0"/>
    </w:pPr>
    <w:rPr>
      <w:b/>
      <w:bCs/>
    </w:rPr>
  </w:style>
  <w:style w:type="paragraph" w:customStyle="1" w:styleId="HesberWriters">
    <w:name w:val="Hesber Writers"/>
    <w:basedOn w:val="Hesber"/>
    <w:pPr>
      <w:spacing w:before="120" w:after="6000"/>
      <w:ind w:left="1418" w:firstLine="0"/>
      <w:jc w:val="right"/>
    </w:pPr>
    <w:rPr>
      <w:b/>
      <w:bCs/>
    </w:rPr>
  </w:style>
  <w:style w:type="paragraph" w:customStyle="1" w:styleId="Hesber1st">
    <w:name w:val="Hesber 1st"/>
    <w:basedOn w:val="Hesber"/>
    <w:pPr>
      <w:tabs>
        <w:tab w:val="left" w:pos="680"/>
        <w:tab w:val="left" w:pos="1020"/>
      </w:tabs>
      <w:ind w:firstLine="0"/>
    </w:pPr>
  </w:style>
  <w:style w:type="character" w:styleId="a7">
    <w:name w:val="endnote reference"/>
    <w:basedOn w:val="a0"/>
    <w:semiHidden/>
    <w:rPr>
      <w:vertAlign w:val="superscript"/>
    </w:rPr>
  </w:style>
  <w:style w:type="paragraph" w:customStyle="1" w:styleId="TableBlockOutdent">
    <w:name w:val="Table BlockOutdent"/>
    <w:basedOn w:val="TableBlock"/>
    <w:rsid w:val="0003252C"/>
    <w:pPr>
      <w:ind w:left="624" w:hanging="624"/>
    </w:pPr>
  </w:style>
  <w:style w:type="paragraph" w:styleId="a8">
    <w:name w:val="header"/>
    <w:basedOn w:val="a"/>
    <w:pPr>
      <w:tabs>
        <w:tab w:val="center" w:pos="4153"/>
        <w:tab w:val="right" w:pos="8306"/>
      </w:tabs>
    </w:pPr>
  </w:style>
  <w:style w:type="paragraph" w:styleId="a9">
    <w:name w:val="footer"/>
    <w:basedOn w:val="a"/>
    <w:pPr>
      <w:tabs>
        <w:tab w:val="center" w:pos="4153"/>
        <w:tab w:val="right" w:pos="8306"/>
      </w:tabs>
    </w:pPr>
  </w:style>
  <w:style w:type="paragraph" w:customStyle="1" w:styleId="HeadDivreiHesber">
    <w:name w:val="Head DivreiHesber"/>
    <w:basedOn w:val="Ragil"/>
    <w:pPr>
      <w:spacing w:before="360" w:after="120"/>
      <w:ind w:firstLine="0"/>
      <w:jc w:val="center"/>
    </w:pPr>
    <w:rPr>
      <w:b/>
      <w:spacing w:val="40"/>
    </w:rPr>
  </w:style>
  <w:style w:type="paragraph" w:customStyle="1" w:styleId="Ragil">
    <w:name w:val="Ragil"/>
    <w:basedOn w:val="Noparagraphstyle"/>
    <w:pPr>
      <w:ind w:firstLine="340"/>
    </w:pPr>
  </w:style>
  <w:style w:type="character" w:styleId="aa">
    <w:name w:val="page number"/>
    <w:basedOn w:val="a0"/>
    <w:rsid w:val="00CF5BDF"/>
  </w:style>
  <w:style w:type="character" w:customStyle="1" w:styleId="a5">
    <w:name w:val="טקסט הערת שוליים תו"/>
    <w:basedOn w:val="a0"/>
    <w:link w:val="a4"/>
    <w:uiPriority w:val="99"/>
    <w:semiHidden/>
    <w:rsid w:val="00415916"/>
    <w:rPr>
      <w:rFonts w:ascii="Arial" w:eastAsia="Arial Unicode MS" w:hAnsi="Arial" w:cs="David"/>
      <w:snapToGrid w:val="0"/>
      <w:color w:val="000000"/>
      <w:sz w:val="1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pPr>
      <w:tabs>
        <w:tab w:val="left" w:pos="1191"/>
        <w:tab w:val="left" w:pos="1587"/>
      </w:tabs>
      <w:spacing w:before="240" w:after="240" w:line="480" w:lineRule="auto"/>
      <w:jc w:val="center"/>
    </w:pPr>
  </w:style>
  <w:style w:type="paragraph" w:customStyle="1" w:styleId="Cover2-HatzaotHok">
    <w:name w:val="Cover 2-HatzaotHok"/>
    <w:basedOn w:val="Cover1-Reshumot"/>
    <w:rPr>
      <w:sz w:val="36"/>
      <w:szCs w:val="52"/>
    </w:rPr>
  </w:style>
  <w:style w:type="paragraph" w:customStyle="1" w:styleId="Cover3-Haknesset">
    <w:name w:val="Cover 3-Haknesset"/>
    <w:basedOn w:val="Cover1-Reshumot"/>
    <w:rPr>
      <w:b/>
      <w:bCs/>
      <w:spacing w:val="60"/>
    </w:rPr>
  </w:style>
  <w:style w:type="paragraph" w:customStyle="1" w:styleId="Cover4-Date">
    <w:name w:val="Cover 4-Date"/>
    <w:basedOn w:val="Noparagraphstyle"/>
    <w:pPr>
      <w:pBdr>
        <w:bottom w:val="single" w:sz="4" w:space="0" w:color="auto"/>
      </w:pBdr>
      <w:tabs>
        <w:tab w:val="center" w:pos="4820"/>
        <w:tab w:val="right" w:pos="9639"/>
      </w:tabs>
      <w:spacing w:before="240" w:after="240"/>
    </w:pPr>
  </w:style>
  <w:style w:type="paragraph" w:customStyle="1" w:styleId="TOC">
    <w:name w:val="TOC"/>
    <w:basedOn w:val="Noparagraphstyle"/>
    <w:pPr>
      <w:tabs>
        <w:tab w:val="left" w:leader="dot" w:pos="8789"/>
      </w:tabs>
      <w:spacing w:before="120"/>
      <w:ind w:left="284" w:right="284"/>
    </w:pPr>
  </w:style>
  <w:style w:type="paragraph" w:customStyle="1" w:styleId="TOCpg">
    <w:name w:val="TOC pg"/>
    <w:basedOn w:val="TOC"/>
    <w:pPr>
      <w:spacing w:after="120"/>
      <w:ind w:right="567"/>
      <w:jc w:val="right"/>
    </w:pPr>
  </w:style>
  <w:style w:type="paragraph" w:customStyle="1" w:styleId="HeadMitparsemetBaze">
    <w:name w:val="Head MitparsemetBaze"/>
    <w:basedOn w:val="Noparagraphstyle"/>
    <w:pPr>
      <w:keepNext/>
      <w:keepLines/>
      <w:pageBreakBefore/>
      <w:spacing w:before="480"/>
      <w:jc w:val="both"/>
    </w:pPr>
    <w:rPr>
      <w:b/>
      <w:bCs/>
    </w:rPr>
  </w:style>
  <w:style w:type="paragraph" w:customStyle="1" w:styleId="HeadHatzaotHok">
    <w:name w:val="Head HatzaotHok"/>
    <w:basedOn w:val="Noparagraphstyle"/>
    <w:pPr>
      <w:keepNext/>
      <w:keepLines/>
      <w:spacing w:before="240"/>
      <w:jc w:val="center"/>
    </w:pPr>
    <w:rPr>
      <w:b/>
      <w:bCs/>
    </w:rPr>
  </w:style>
  <w:style w:type="paragraph" w:customStyle="1" w:styleId="HeadHatzaotHok4Futer">
    <w:name w:val="Head HatzaotHok4Futer"/>
    <w:basedOn w:val="HeadHatzaotHok"/>
    <w:pPr>
      <w:spacing w:before="120" w:after="120"/>
    </w:pPr>
    <w:rPr>
      <w:color w:val="FF0000"/>
      <w:w w:val="80"/>
    </w:rPr>
  </w:style>
  <w:style w:type="paragraph" w:styleId="a3">
    <w:name w:val="endnote text"/>
    <w:basedOn w:val="Ragil"/>
    <w:semiHidden/>
    <w:pPr>
      <w:ind w:left="227" w:hanging="227"/>
    </w:pPr>
    <w:rPr>
      <w:sz w:val="14"/>
      <w:szCs w:val="22"/>
    </w:rPr>
  </w:style>
  <w:style w:type="paragraph" w:customStyle="1" w:styleId="TableText">
    <w:name w:val="Table Text"/>
    <w:basedOn w:val="Ragil"/>
    <w:pPr>
      <w:keepLines/>
      <w:tabs>
        <w:tab w:val="left" w:pos="624"/>
        <w:tab w:val="left" w:pos="1247"/>
      </w:tabs>
      <w:ind w:right="57" w:firstLine="0"/>
    </w:pPr>
  </w:style>
  <w:style w:type="paragraph" w:customStyle="1" w:styleId="TableSideHeading">
    <w:name w:val="Table SideHeading"/>
    <w:basedOn w:val="TableText"/>
  </w:style>
  <w:style w:type="paragraph" w:customStyle="1" w:styleId="TableBlock">
    <w:name w:val="Table Block"/>
    <w:basedOn w:val="TableText"/>
    <w:pPr>
      <w:ind w:right="0"/>
      <w:jc w:val="both"/>
    </w:pPr>
  </w:style>
  <w:style w:type="paragraph" w:customStyle="1" w:styleId="TableHead">
    <w:name w:val="Table Head"/>
    <w:basedOn w:val="TableText"/>
    <w:pPr>
      <w:ind w:right="0"/>
      <w:jc w:val="center"/>
    </w:pPr>
    <w:rPr>
      <w:b/>
      <w:bCs/>
    </w:rPr>
  </w:style>
  <w:style w:type="paragraph" w:customStyle="1" w:styleId="TableText2">
    <w:name w:val="Table Text2"/>
    <w:basedOn w:val="TableText"/>
  </w:style>
  <w:style w:type="paragraph" w:customStyle="1" w:styleId="TableInnerSideHeading">
    <w:name w:val="Table InnerSideHeading"/>
    <w:basedOn w:val="TableSideHeading"/>
  </w:style>
  <w:style w:type="paragraph" w:customStyle="1" w:styleId="Hesber">
    <w:name w:val="Hesber"/>
    <w:basedOn w:val="Ragil"/>
    <w:pPr>
      <w:jc w:val="both"/>
    </w:pPr>
  </w:style>
  <w:style w:type="paragraph" w:styleId="a4">
    <w:name w:val="footnote text"/>
    <w:basedOn w:val="Ragil"/>
    <w:link w:val="a5"/>
    <w:autoRedefine/>
    <w:uiPriority w:val="99"/>
    <w:semiHidden/>
    <w:rsid w:val="00644940"/>
    <w:pPr>
      <w:spacing w:line="240" w:lineRule="auto"/>
      <w:ind w:left="227" w:hanging="227"/>
    </w:pPr>
    <w:rPr>
      <w:sz w:val="14"/>
      <w:szCs w:val="20"/>
    </w:rPr>
  </w:style>
  <w:style w:type="character" w:styleId="a6">
    <w:name w:val="footnote reference"/>
    <w:basedOn w:val="a0"/>
    <w:uiPriority w:val="99"/>
    <w:semiHidden/>
    <w:rPr>
      <w:vertAlign w:val="superscript"/>
    </w:rPr>
  </w:style>
  <w:style w:type="paragraph" w:customStyle="1" w:styleId="HesberHeading">
    <w:name w:val="Hesber Heading"/>
    <w:basedOn w:val="Hesber"/>
    <w:pPr>
      <w:keepNext/>
      <w:keepLines/>
      <w:spacing w:before="240"/>
      <w:ind w:firstLine="0"/>
    </w:pPr>
    <w:rPr>
      <w:b/>
      <w:bCs/>
    </w:rPr>
  </w:style>
  <w:style w:type="paragraph" w:customStyle="1" w:styleId="HesberWriters">
    <w:name w:val="Hesber Writers"/>
    <w:basedOn w:val="Hesber"/>
    <w:pPr>
      <w:spacing w:before="120" w:after="6000"/>
      <w:ind w:left="1418" w:firstLine="0"/>
      <w:jc w:val="right"/>
    </w:pPr>
    <w:rPr>
      <w:b/>
      <w:bCs/>
    </w:rPr>
  </w:style>
  <w:style w:type="paragraph" w:customStyle="1" w:styleId="Hesber1st">
    <w:name w:val="Hesber 1st"/>
    <w:basedOn w:val="Hesber"/>
    <w:pPr>
      <w:tabs>
        <w:tab w:val="left" w:pos="680"/>
        <w:tab w:val="left" w:pos="1020"/>
      </w:tabs>
      <w:ind w:firstLine="0"/>
    </w:pPr>
  </w:style>
  <w:style w:type="character" w:styleId="a7">
    <w:name w:val="endnote reference"/>
    <w:basedOn w:val="a0"/>
    <w:semiHidden/>
    <w:rPr>
      <w:vertAlign w:val="superscript"/>
    </w:rPr>
  </w:style>
  <w:style w:type="paragraph" w:customStyle="1" w:styleId="TableBlockOutdent">
    <w:name w:val="Table BlockOutdent"/>
    <w:basedOn w:val="TableBlock"/>
    <w:rsid w:val="0003252C"/>
    <w:pPr>
      <w:ind w:left="624" w:hanging="624"/>
    </w:pPr>
  </w:style>
  <w:style w:type="paragraph" w:styleId="a8">
    <w:name w:val="header"/>
    <w:basedOn w:val="a"/>
    <w:pPr>
      <w:tabs>
        <w:tab w:val="center" w:pos="4153"/>
        <w:tab w:val="right" w:pos="8306"/>
      </w:tabs>
    </w:pPr>
  </w:style>
  <w:style w:type="paragraph" w:styleId="a9">
    <w:name w:val="footer"/>
    <w:basedOn w:val="a"/>
    <w:pPr>
      <w:tabs>
        <w:tab w:val="center" w:pos="4153"/>
        <w:tab w:val="right" w:pos="8306"/>
      </w:tabs>
    </w:pPr>
  </w:style>
  <w:style w:type="paragraph" w:customStyle="1" w:styleId="HeadDivreiHesber">
    <w:name w:val="Head DivreiHesber"/>
    <w:basedOn w:val="Ragil"/>
    <w:pPr>
      <w:spacing w:before="360" w:after="120"/>
      <w:ind w:firstLine="0"/>
      <w:jc w:val="center"/>
    </w:pPr>
    <w:rPr>
      <w:b/>
      <w:spacing w:val="40"/>
    </w:rPr>
  </w:style>
  <w:style w:type="paragraph" w:customStyle="1" w:styleId="Ragil">
    <w:name w:val="Ragil"/>
    <w:basedOn w:val="Noparagraphstyle"/>
    <w:pPr>
      <w:ind w:firstLine="340"/>
    </w:pPr>
  </w:style>
  <w:style w:type="character" w:styleId="aa">
    <w:name w:val="page number"/>
    <w:basedOn w:val="a0"/>
    <w:rsid w:val="00CF5BDF"/>
  </w:style>
  <w:style w:type="character" w:customStyle="1" w:styleId="a5">
    <w:name w:val="טקסט הערת שוליים תו"/>
    <w:basedOn w:val="a0"/>
    <w:link w:val="a4"/>
    <w:uiPriority w:val="99"/>
    <w:semiHidden/>
    <w:rsid w:val="00415916"/>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161B5BAE19C0A94ABF7F052772C71F14" ma:contentTypeVersion="1" ma:contentTypeDescription="צור מסמך חדש." ma:contentTypeScope="" ma:versionID="4c4e7c02a57e54f45d23c2b2cc14d8d5">
  <xsd:schema xmlns:xsd="http://www.w3.org/2001/XMLSchema" xmlns:p="http://schemas.microsoft.com/office/2006/metadata/properties" xmlns:ns2="d2589617-2f74-4077-aee7-f516ed639388" targetNamespace="http://schemas.microsoft.com/office/2006/metadata/properties" ma:root="true" ma:fieldsID="07cad186b484ecc037a0bd5112bdf38e" ns2:_="">
    <xsd:import namespace="d2589617-2f74-4077-aee7-f516ed639388"/>
    <xsd:element name="properties">
      <xsd:complexType>
        <xsd:sequence>
          <xsd:element name="documentManagement">
            <xsd:complexType>
              <xsd:all>
                <xsd:element ref="ns2:RefNumber" minOccurs="0"/>
              </xsd:all>
            </xsd:complexType>
          </xsd:element>
        </xsd:sequence>
      </xsd:complexType>
    </xsd:element>
  </xsd:schema>
  <xsd:schema xmlns:xsd="http://www.w3.org/2001/XMLSchema" xmlns:dms="http://schemas.microsoft.com/office/2006/documentManagement/types" targetNamespace="d2589617-2f74-4077-aee7-f516ed639388" elementFormDefault="qualified">
    <xsd:import namespace="http://schemas.microsoft.com/office/2006/documentManagement/types"/>
    <xsd:element name="RefNumber" ma:index="8" nillable="true" ma:displayName="RefNumber" ma:description="מס' טופס" ma:internalName="Ref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RefNumber xmlns="d2589617-2f74-4077-aee7-f516ed639388">41801</RefNumb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2AC7C-0F1D-44EB-9520-AAB7B7691D7C}">
  <ds:schemaRefs>
    <ds:schemaRef ds:uri="http://schemas.microsoft.com/sharepoint/v3/contenttype/forms"/>
  </ds:schemaRefs>
</ds:datastoreItem>
</file>

<file path=customXml/itemProps2.xml><?xml version="1.0" encoding="utf-8"?>
<ds:datastoreItem xmlns:ds="http://schemas.openxmlformats.org/officeDocument/2006/customXml" ds:itemID="{FF5E815B-A8F2-42A9-8984-A79E2A98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89617-2f74-4077-aee7-f516ed6393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F3F73D-8C12-43C4-86AC-2651FD4A523C}">
  <ds:schemaRefs>
    <ds:schemaRef ds:uri="http://schemas.microsoft.com/office/2006/metadata/properties"/>
    <ds:schemaRef ds:uri="d2589617-2f74-4077-aee7-f516ed639388"/>
  </ds:schemaRefs>
</ds:datastoreItem>
</file>

<file path=customXml/itemProps4.xml><?xml version="1.0" encoding="utf-8"?>
<ds:datastoreItem xmlns:ds="http://schemas.openxmlformats.org/officeDocument/2006/customXml" ds:itemID="{B50B6A13-6E84-40C9-A233-EFEDBE4C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1173</Words>
  <Characters>5870</Characters>
  <Application>Microsoft Office Word</Application>
  <DocSecurity>0</DocSecurity>
  <Lines>48</Lines>
  <Paragraphs>14</Paragraphs>
  <ScaleCrop>false</ScaleCrop>
  <HeadingPairs>
    <vt:vector size="2" baseType="variant">
      <vt:variant>
        <vt:lpstr>שם</vt:lpstr>
      </vt:variant>
      <vt:variant>
        <vt:i4>1</vt:i4>
      </vt:variant>
    </vt:vector>
  </HeadingPairs>
  <TitlesOfParts>
    <vt:vector size="1" baseType="lpstr">
      <vt:lpstr>מיסוי מקרקעין.docx</vt:lpstr>
    </vt:vector>
  </TitlesOfParts>
  <Company>MOF</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מיסוי מקרקעין.docx</dc:title>
  <dc:creator>xxkeren</dc:creator>
  <cp:lastModifiedBy>hamercaz1</cp:lastModifiedBy>
  <cp:revision>2</cp:revision>
  <cp:lastPrinted>2013-11-21T07:38:00Z</cp:lastPrinted>
  <dcterms:created xsi:type="dcterms:W3CDTF">2013-11-26T09:10:00Z</dcterms:created>
  <dcterms:modified xsi:type="dcterms:W3CDTF">2013-11-26T09:10:00Z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0x010100161B5BAE19C0A94ABF7F052772C71F14</vt:lpwstr>
  </property>
</Properties>
</file>