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11" w:rsidRDefault="00D138A8" w:rsidP="00A6641C">
      <w:pPr>
        <w:pStyle w:val="HeadHatzaotHok"/>
        <w:keepNext w:val="0"/>
        <w:keepLines w:val="0"/>
        <w:rPr>
          <w:rFonts w:ascii="David" w:hAnsi="David"/>
          <w:sz w:val="26"/>
          <w:rtl/>
        </w:rPr>
      </w:pPr>
      <w:bookmarkStart w:id="0" w:name="_GoBack"/>
      <w:bookmarkEnd w:id="0"/>
      <w:r w:rsidRPr="00A6641C">
        <w:rPr>
          <w:rFonts w:ascii="David" w:hAnsi="David"/>
          <w:sz w:val="26"/>
          <w:rtl/>
        </w:rPr>
        <w:t>תזכיר חוק התוכנית הכלכלית (תיקוני חקיקה</w:t>
      </w:r>
      <w:r w:rsidRPr="00A6641C">
        <w:rPr>
          <w:rFonts w:ascii="David" w:hAnsi="David" w:hint="cs"/>
          <w:sz w:val="26"/>
          <w:rtl/>
        </w:rPr>
        <w:t xml:space="preserve"> ליישום המדיניות הכלכלית לשנת התקציב 2019</w:t>
      </w:r>
      <w:r w:rsidRPr="00A6641C">
        <w:rPr>
          <w:rFonts w:ascii="David" w:hAnsi="David"/>
          <w:sz w:val="26"/>
          <w:rtl/>
        </w:rPr>
        <w:t>), התשע"ח – 2018</w:t>
      </w:r>
      <w:r w:rsidR="00A6641C" w:rsidRPr="00A6641C">
        <w:rPr>
          <w:rFonts w:ascii="David" w:hAnsi="David" w:hint="cs"/>
          <w:sz w:val="26"/>
          <w:rtl/>
        </w:rPr>
        <w:t xml:space="preserve">  </w:t>
      </w:r>
      <w:r w:rsidR="00A6641C">
        <w:rPr>
          <w:rFonts w:ascii="David" w:hAnsi="David" w:hint="cs"/>
          <w:sz w:val="26"/>
          <w:rtl/>
        </w:rPr>
        <w:t xml:space="preserve">- </w:t>
      </w:r>
      <w:r w:rsidR="00334F11" w:rsidRPr="002A24F7">
        <w:rPr>
          <w:rFonts w:ascii="David" w:hAnsi="David"/>
          <w:sz w:val="26"/>
          <w:rtl/>
        </w:rPr>
        <w:t xml:space="preserve">פרק __': </w:t>
      </w:r>
      <w:r w:rsidR="00334F11">
        <w:rPr>
          <w:rFonts w:ascii="David" w:hAnsi="David" w:hint="cs"/>
          <w:sz w:val="26"/>
          <w:rtl/>
        </w:rPr>
        <w:t>תכנון ובניה</w:t>
      </w:r>
    </w:p>
    <w:p w:rsidR="00334F11" w:rsidRPr="00334F11" w:rsidRDefault="00334F11" w:rsidP="00334F11">
      <w:pPr>
        <w:pStyle w:val="HeadHatzaotHok"/>
        <w:keepNext w:val="0"/>
        <w:keepLines w:val="0"/>
        <w:jc w:val="both"/>
        <w:rPr>
          <w:rFonts w:ascii="David" w:hAnsi="David"/>
          <w:b w:val="0"/>
          <w:bCs w:val="0"/>
          <w:sz w:val="26"/>
          <w:rtl/>
        </w:rPr>
      </w:pPr>
      <w:r w:rsidRPr="00334F11">
        <w:rPr>
          <w:rFonts w:hint="cs"/>
          <w:b w:val="0"/>
          <w:bCs w:val="0"/>
          <w:rtl/>
        </w:rPr>
        <w:t>תזכיר זה מיישם את החלטות הממשלה מיום 11 בינואר 2018, והוא צפוי לעלות על סדר יומה של ועדת השרים המיוחדת לעניין התכנית הכלכלית לשנת 2019, לאחר המועד האחרון למתן הערות הציבור.</w:t>
      </w:r>
    </w:p>
    <w:p w:rsidR="00A6641C" w:rsidRDefault="00A6641C" w:rsidP="00A6641C">
      <w:pPr>
        <w:widowControl/>
        <w:autoSpaceDE/>
        <w:autoSpaceDN/>
        <w:adjustRightInd/>
        <w:spacing w:before="0" w:line="240" w:lineRule="auto"/>
        <w:ind w:left="360" w:firstLine="0"/>
        <w:textAlignment w:val="auto"/>
        <w:rPr>
          <w:rFonts w:cs="David"/>
          <w:b/>
          <w:bCs/>
          <w:sz w:val="26"/>
          <w:szCs w:val="26"/>
          <w:u w:val="single"/>
        </w:rPr>
      </w:pPr>
    </w:p>
    <w:p w:rsidR="00A45D6D" w:rsidRPr="00A45D6D" w:rsidRDefault="00A45D6D" w:rsidP="00A45D6D">
      <w:pPr>
        <w:widowControl/>
        <w:numPr>
          <w:ilvl w:val="0"/>
          <w:numId w:val="7"/>
        </w:numPr>
        <w:autoSpaceDE/>
        <w:autoSpaceDN/>
        <w:adjustRightInd/>
        <w:spacing w:before="0" w:line="240" w:lineRule="auto"/>
        <w:textAlignment w:val="auto"/>
        <w:rPr>
          <w:rFonts w:cs="David"/>
          <w:b/>
          <w:bCs/>
          <w:sz w:val="26"/>
          <w:szCs w:val="26"/>
          <w:u w:val="single"/>
          <w:rtl/>
        </w:rPr>
      </w:pPr>
      <w:r w:rsidRPr="00A45D6D">
        <w:rPr>
          <w:rFonts w:cs="David" w:hint="cs"/>
          <w:b/>
          <w:bCs/>
          <w:sz w:val="26"/>
          <w:szCs w:val="26"/>
          <w:u w:val="single"/>
          <w:rtl/>
        </w:rPr>
        <w:t>שם החוק המוצע</w:t>
      </w:r>
    </w:p>
    <w:p w:rsidR="00A45D6D" w:rsidRPr="00907FE2" w:rsidRDefault="00A45D6D" w:rsidP="00A45D6D">
      <w:pPr>
        <w:rPr>
          <w:sz w:val="26"/>
          <w:szCs w:val="26"/>
          <w:rtl/>
        </w:rPr>
      </w:pPr>
    </w:p>
    <w:p w:rsidR="00A45D6D" w:rsidRPr="00C95F37" w:rsidRDefault="00C95F37" w:rsidP="00C95F37">
      <w:pPr>
        <w:pStyle w:val="HeadHatzaotHok"/>
        <w:keepNext w:val="0"/>
        <w:keepLines w:val="0"/>
        <w:jc w:val="both"/>
        <w:rPr>
          <w:b w:val="0"/>
          <w:bCs w:val="0"/>
        </w:rPr>
      </w:pPr>
      <w:r w:rsidRPr="00C95F37">
        <w:rPr>
          <w:b w:val="0"/>
          <w:bCs w:val="0"/>
          <w:rtl/>
        </w:rPr>
        <w:t>תזכיר חוק התוכנית הכלכלית (תיקוני חקיקה ליישום המדיניות הכלכלית לשנת התקציב 2019), התשע"ח – 2018  - פרק __': תכנון ובניה</w:t>
      </w:r>
    </w:p>
    <w:p w:rsidR="00A45D6D" w:rsidRPr="00A45D6D" w:rsidRDefault="00A45D6D" w:rsidP="00A45D6D">
      <w:pPr>
        <w:widowControl/>
        <w:numPr>
          <w:ilvl w:val="0"/>
          <w:numId w:val="7"/>
        </w:numPr>
        <w:autoSpaceDE/>
        <w:autoSpaceDN/>
        <w:adjustRightInd/>
        <w:spacing w:before="0" w:line="240" w:lineRule="auto"/>
        <w:textAlignment w:val="auto"/>
        <w:rPr>
          <w:rFonts w:cs="David"/>
          <w:b/>
          <w:bCs/>
          <w:sz w:val="26"/>
          <w:szCs w:val="26"/>
          <w:u w:val="single"/>
        </w:rPr>
      </w:pPr>
      <w:r w:rsidRPr="00A45D6D">
        <w:rPr>
          <w:rFonts w:cs="David" w:hint="cs"/>
          <w:b/>
          <w:bCs/>
          <w:sz w:val="26"/>
          <w:szCs w:val="26"/>
          <w:u w:val="single"/>
          <w:rtl/>
        </w:rPr>
        <w:t>מטרת החוק המוצע והצורך בו</w:t>
      </w:r>
    </w:p>
    <w:p w:rsidR="00A45D6D" w:rsidRDefault="00A45D6D" w:rsidP="00A45D6D">
      <w:pPr>
        <w:rPr>
          <w:rFonts w:ascii="Arial" w:eastAsia="Arial Unicode MS" w:hAnsi="Arial" w:cs="David"/>
          <w:b/>
          <w:bCs/>
          <w:snapToGrid w:val="0"/>
          <w:spacing w:val="0"/>
          <w:sz w:val="20"/>
          <w:szCs w:val="26"/>
          <w:rtl/>
        </w:rPr>
      </w:pPr>
    </w:p>
    <w:p w:rsidR="00A45D6D" w:rsidRPr="00A6641C" w:rsidRDefault="00334F11" w:rsidP="00A6641C">
      <w:pPr>
        <w:pStyle w:val="HeadHatzaotHok"/>
        <w:keepNext w:val="0"/>
        <w:keepLines w:val="0"/>
        <w:jc w:val="both"/>
        <w:rPr>
          <w:b w:val="0"/>
          <w:bCs w:val="0"/>
          <w:rtl/>
        </w:rPr>
      </w:pPr>
      <w:r w:rsidRPr="00A6641C">
        <w:rPr>
          <w:rFonts w:hint="cs"/>
          <w:b w:val="0"/>
          <w:bCs w:val="0"/>
          <w:rtl/>
        </w:rPr>
        <w:t xml:space="preserve">בהתאם למדיניות הממשלה בנושא תכנון ובניה, </w:t>
      </w:r>
      <w:r w:rsidR="00A45D6D" w:rsidRPr="00A6641C">
        <w:rPr>
          <w:rFonts w:hint="cs"/>
          <w:b w:val="0"/>
          <w:bCs w:val="0"/>
          <w:rtl/>
        </w:rPr>
        <w:t xml:space="preserve">הוחלט על שורה של שינויים שיש לבצע בחוק התכנון והבנייה, התשכ"ה-1965, במטרה להגדיל את היצע הדיור ולייעל את התהליכים הנגזרים בתחום התכנון והבנייה בישראל. </w:t>
      </w:r>
    </w:p>
    <w:p w:rsidR="00A45D6D" w:rsidRDefault="00A45D6D" w:rsidP="00A45D6D">
      <w:pPr>
        <w:spacing w:before="0" w:line="276" w:lineRule="auto"/>
        <w:ind w:firstLine="0"/>
        <w:rPr>
          <w:rFonts w:ascii="Arial" w:eastAsia="Arial Unicode MS" w:hAnsi="Arial" w:cs="David"/>
          <w:snapToGrid w:val="0"/>
          <w:spacing w:val="0"/>
          <w:sz w:val="20"/>
          <w:szCs w:val="26"/>
          <w:rtl/>
        </w:rPr>
      </w:pPr>
    </w:p>
    <w:p w:rsidR="00A45D6D" w:rsidRDefault="00A45D6D" w:rsidP="00A45D6D">
      <w:pPr>
        <w:widowControl/>
        <w:numPr>
          <w:ilvl w:val="0"/>
          <w:numId w:val="7"/>
        </w:numPr>
        <w:autoSpaceDE/>
        <w:autoSpaceDN/>
        <w:adjustRightInd/>
        <w:spacing w:before="0" w:line="240" w:lineRule="auto"/>
        <w:textAlignment w:val="auto"/>
        <w:rPr>
          <w:rFonts w:cs="David"/>
          <w:b/>
          <w:bCs/>
          <w:sz w:val="26"/>
          <w:szCs w:val="26"/>
          <w:u w:val="single"/>
        </w:rPr>
      </w:pPr>
      <w:r w:rsidRPr="00907FE2">
        <w:rPr>
          <w:rFonts w:cs="David" w:hint="cs"/>
          <w:b/>
          <w:bCs/>
          <w:sz w:val="26"/>
          <w:szCs w:val="26"/>
          <w:u w:val="single"/>
          <w:rtl/>
        </w:rPr>
        <w:t xml:space="preserve">עיקרי החוק המוצע </w:t>
      </w:r>
    </w:p>
    <w:p w:rsidR="00A45D6D" w:rsidRPr="00907FE2" w:rsidRDefault="00A45D6D" w:rsidP="00A45D6D">
      <w:pPr>
        <w:widowControl/>
        <w:autoSpaceDE/>
        <w:autoSpaceDN/>
        <w:adjustRightInd/>
        <w:spacing w:before="0" w:line="240" w:lineRule="auto"/>
        <w:ind w:left="360" w:firstLine="0"/>
        <w:textAlignment w:val="auto"/>
        <w:rPr>
          <w:rFonts w:cs="David"/>
          <w:b/>
          <w:bCs/>
          <w:sz w:val="26"/>
          <w:szCs w:val="26"/>
          <w:u w:val="single"/>
        </w:rPr>
      </w:pPr>
    </w:p>
    <w:p w:rsidR="00A45D6D" w:rsidRPr="00907FE2" w:rsidRDefault="00A45D6D" w:rsidP="00334F11">
      <w:pPr>
        <w:spacing w:after="120" w:line="360" w:lineRule="auto"/>
        <w:ind w:firstLine="0"/>
        <w:rPr>
          <w:rFonts w:ascii="Times New Roman" w:eastAsia="Times New Roman" w:hAnsi="Times New Roman" w:cs="David"/>
          <w:b/>
          <w:bCs/>
          <w:color w:val="auto"/>
          <w:spacing w:val="0"/>
          <w:sz w:val="24"/>
          <w:szCs w:val="26"/>
          <w:u w:val="single"/>
          <w:rtl/>
          <w:lang w:eastAsia="he-IL"/>
        </w:rPr>
      </w:pPr>
      <w:r>
        <w:rPr>
          <w:rFonts w:ascii="Times New Roman" w:eastAsia="Times New Roman" w:hAnsi="Times New Roman" w:cs="David" w:hint="cs"/>
          <w:b/>
          <w:bCs/>
          <w:color w:val="auto"/>
          <w:spacing w:val="0"/>
          <w:sz w:val="24"/>
          <w:szCs w:val="26"/>
          <w:u w:val="single"/>
          <w:rtl/>
          <w:lang w:eastAsia="he-IL"/>
        </w:rPr>
        <w:t xml:space="preserve">לפסקה </w:t>
      </w:r>
      <w:r w:rsidR="00334F11">
        <w:rPr>
          <w:rFonts w:ascii="Times New Roman" w:eastAsia="Times New Roman" w:hAnsi="Times New Roman" w:cs="David" w:hint="cs"/>
          <w:b/>
          <w:bCs/>
          <w:color w:val="auto"/>
          <w:spacing w:val="0"/>
          <w:sz w:val="24"/>
          <w:szCs w:val="26"/>
          <w:u w:val="single"/>
          <w:rtl/>
          <w:lang w:eastAsia="he-IL"/>
        </w:rPr>
        <w:t>1</w:t>
      </w:r>
      <w:r>
        <w:rPr>
          <w:rFonts w:ascii="Times New Roman" w:eastAsia="Times New Roman" w:hAnsi="Times New Roman" w:cs="David" w:hint="cs"/>
          <w:b/>
          <w:bCs/>
          <w:color w:val="auto"/>
          <w:spacing w:val="0"/>
          <w:sz w:val="24"/>
          <w:szCs w:val="26"/>
          <w:u w:val="single"/>
          <w:rtl/>
          <w:lang w:eastAsia="he-IL"/>
        </w:rPr>
        <w:t xml:space="preserve"> </w:t>
      </w:r>
    </w:p>
    <w:p w:rsidR="00A45D6D" w:rsidRPr="00A6641C" w:rsidRDefault="002338B7" w:rsidP="00A6641C">
      <w:pPr>
        <w:pStyle w:val="HeadHatzaotHok"/>
        <w:keepNext w:val="0"/>
        <w:keepLines w:val="0"/>
        <w:jc w:val="both"/>
        <w:rPr>
          <w:b w:val="0"/>
          <w:bCs w:val="0"/>
          <w:rtl/>
        </w:rPr>
      </w:pPr>
      <w:r w:rsidRPr="00A6641C">
        <w:rPr>
          <w:rFonts w:hint="cs"/>
          <w:b w:val="0"/>
          <w:bCs w:val="0"/>
          <w:rtl/>
        </w:rPr>
        <w:t xml:space="preserve">נכון להיום, </w:t>
      </w:r>
      <w:r w:rsidR="00A45D6D" w:rsidRPr="00A6641C">
        <w:rPr>
          <w:b w:val="0"/>
          <w:bCs w:val="0"/>
          <w:rtl/>
        </w:rPr>
        <w:t>ועדה מקומית אינה מוסמכת לאשר הוספת שימושים בשטחים המיועדים לתעסוקה, ו</w:t>
      </w:r>
      <w:r w:rsidRPr="00A6641C">
        <w:rPr>
          <w:rFonts w:hint="cs"/>
          <w:b w:val="0"/>
          <w:bCs w:val="0"/>
          <w:rtl/>
        </w:rPr>
        <w:t xml:space="preserve">אם בכוונת יזם להוסיף שימוש, </w:t>
      </w:r>
      <w:r w:rsidR="00A45D6D" w:rsidRPr="00A6641C">
        <w:rPr>
          <w:b w:val="0"/>
          <w:bCs w:val="0"/>
          <w:rtl/>
        </w:rPr>
        <w:t>על</w:t>
      </w:r>
      <w:r w:rsidRPr="00A6641C">
        <w:rPr>
          <w:rFonts w:hint="cs"/>
          <w:b w:val="0"/>
          <w:bCs w:val="0"/>
          <w:rtl/>
        </w:rPr>
        <w:t>יו</w:t>
      </w:r>
      <w:r w:rsidR="00A45D6D" w:rsidRPr="00A6641C">
        <w:rPr>
          <w:b w:val="0"/>
          <w:bCs w:val="0"/>
          <w:rtl/>
        </w:rPr>
        <w:t xml:space="preserve"> להגיש תכנית חדשה לוועדה המחוזית, הליך שאורך זמן רב. לכן, מוצע להסמיך ועדות מקומיות עצמאיות לאשר</w:t>
      </w:r>
      <w:r w:rsidR="00A45D6D" w:rsidRPr="00A6641C">
        <w:rPr>
          <w:rFonts w:hint="cs"/>
          <w:b w:val="0"/>
          <w:bCs w:val="0"/>
          <w:rtl/>
        </w:rPr>
        <w:t>,</w:t>
      </w:r>
      <w:r w:rsidR="00A45D6D" w:rsidRPr="00A6641C">
        <w:rPr>
          <w:b w:val="0"/>
          <w:bCs w:val="0"/>
          <w:rtl/>
        </w:rPr>
        <w:t xml:space="preserve"> בשטחים המיועדים לתעסוקה </w:t>
      </w:r>
      <w:r w:rsidR="00A45D6D" w:rsidRPr="00A6641C">
        <w:rPr>
          <w:rFonts w:hint="cs"/>
          <w:b w:val="0"/>
          <w:bCs w:val="0"/>
          <w:rtl/>
        </w:rPr>
        <w:t xml:space="preserve">(למעט בשטחי תעשייה), </w:t>
      </w:r>
      <w:r w:rsidR="00A45D6D" w:rsidRPr="00A6641C">
        <w:rPr>
          <w:b w:val="0"/>
          <w:bCs w:val="0"/>
          <w:rtl/>
        </w:rPr>
        <w:t>הוספ</w:t>
      </w:r>
      <w:r w:rsidRPr="00A6641C">
        <w:rPr>
          <w:rFonts w:hint="cs"/>
          <w:b w:val="0"/>
          <w:bCs w:val="0"/>
          <w:rtl/>
        </w:rPr>
        <w:t>ה</w:t>
      </w:r>
      <w:r w:rsidR="00A45D6D" w:rsidRPr="00A6641C">
        <w:rPr>
          <w:b w:val="0"/>
          <w:bCs w:val="0"/>
          <w:rtl/>
        </w:rPr>
        <w:t xml:space="preserve"> </w:t>
      </w:r>
      <w:r w:rsidRPr="00A6641C">
        <w:rPr>
          <w:rFonts w:hint="cs"/>
          <w:b w:val="0"/>
          <w:bCs w:val="0"/>
          <w:rtl/>
        </w:rPr>
        <w:t xml:space="preserve">של </w:t>
      </w:r>
      <w:r w:rsidR="00A45D6D" w:rsidRPr="00A6641C">
        <w:rPr>
          <w:rFonts w:hint="cs"/>
          <w:b w:val="0"/>
          <w:bCs w:val="0"/>
          <w:rtl/>
        </w:rPr>
        <w:t>ה</w:t>
      </w:r>
      <w:r w:rsidR="00A45D6D" w:rsidRPr="00A6641C">
        <w:rPr>
          <w:b w:val="0"/>
          <w:bCs w:val="0"/>
          <w:rtl/>
        </w:rPr>
        <w:t xml:space="preserve">שימושים </w:t>
      </w:r>
      <w:r w:rsidR="00A45D6D" w:rsidRPr="00A6641C">
        <w:rPr>
          <w:rFonts w:hint="cs"/>
          <w:b w:val="0"/>
          <w:bCs w:val="0"/>
          <w:rtl/>
        </w:rPr>
        <w:t xml:space="preserve">הבאים: </w:t>
      </w:r>
      <w:r w:rsidR="00A45D6D" w:rsidRPr="00A6641C">
        <w:rPr>
          <w:b w:val="0"/>
          <w:bCs w:val="0"/>
          <w:rtl/>
        </w:rPr>
        <w:t>מעונות יום, מעונות סטודנטים, דיור מוגן ודיור להשכרה, ו</w:t>
      </w:r>
      <w:r w:rsidR="00A45D6D" w:rsidRPr="00A6641C">
        <w:rPr>
          <w:rFonts w:hint="cs"/>
          <w:b w:val="0"/>
          <w:bCs w:val="0"/>
          <w:rtl/>
        </w:rPr>
        <w:t xml:space="preserve">כן </w:t>
      </w:r>
      <w:r w:rsidRPr="00A6641C">
        <w:rPr>
          <w:rFonts w:hint="cs"/>
          <w:b w:val="0"/>
          <w:bCs w:val="0"/>
          <w:rtl/>
        </w:rPr>
        <w:t>להוסיף</w:t>
      </w:r>
      <w:r w:rsidR="00A45D6D" w:rsidRPr="00A6641C">
        <w:rPr>
          <w:rFonts w:hint="cs"/>
          <w:b w:val="0"/>
          <w:bCs w:val="0"/>
          <w:rtl/>
        </w:rPr>
        <w:t xml:space="preserve"> </w:t>
      </w:r>
      <w:r w:rsidR="00A45D6D" w:rsidRPr="00A6641C">
        <w:rPr>
          <w:b w:val="0"/>
          <w:bCs w:val="0"/>
          <w:rtl/>
        </w:rPr>
        <w:t xml:space="preserve">במגרש המיועד למגורים, שימוש של מעונות יום. שילובם של שימושים אלו באותו תא שטח המיועד לתעסוקה יביא לניצול יעיל של השטח וליצירת מרחב עירוני פעיל בכל שעות היום, הכולל שימושים נרחבים התומכים זה בזה באותו המתחם. בנוסף, </w:t>
      </w:r>
      <w:r w:rsidR="00D86C53" w:rsidRPr="00A6641C">
        <w:rPr>
          <w:rFonts w:hint="cs"/>
          <w:b w:val="0"/>
          <w:bCs w:val="0"/>
          <w:rtl/>
        </w:rPr>
        <w:t xml:space="preserve">בשל החשיבות בהקצאה של שטחים לצורכי ציבור, </w:t>
      </w:r>
      <w:r w:rsidR="00A45D6D" w:rsidRPr="00A6641C">
        <w:rPr>
          <w:b w:val="0"/>
          <w:bCs w:val="0"/>
          <w:rtl/>
        </w:rPr>
        <w:t>מוצע לאפשר לוועדה המקומית לשנות ייעוד משטח תעסוקה לשטח לצורכי ציבור.</w:t>
      </w:r>
    </w:p>
    <w:p w:rsidR="00A45D6D" w:rsidRDefault="00A45D6D" w:rsidP="00A45D6D">
      <w:pPr>
        <w:spacing w:before="0" w:line="276" w:lineRule="auto"/>
        <w:ind w:firstLine="0"/>
        <w:rPr>
          <w:sz w:val="26"/>
          <w:rtl/>
        </w:rPr>
      </w:pPr>
    </w:p>
    <w:p w:rsidR="00A45D6D" w:rsidRPr="00907FE2" w:rsidRDefault="00A45D6D" w:rsidP="00334F11">
      <w:pPr>
        <w:spacing w:after="120" w:line="360" w:lineRule="auto"/>
        <w:ind w:firstLine="0"/>
        <w:rPr>
          <w:rFonts w:ascii="Times New Roman" w:eastAsia="Times New Roman" w:hAnsi="Times New Roman" w:cs="David"/>
          <w:b/>
          <w:bCs/>
          <w:color w:val="auto"/>
          <w:spacing w:val="0"/>
          <w:sz w:val="24"/>
          <w:szCs w:val="26"/>
          <w:u w:val="single"/>
          <w:rtl/>
          <w:lang w:eastAsia="he-IL"/>
        </w:rPr>
      </w:pPr>
      <w:r>
        <w:rPr>
          <w:rFonts w:ascii="Times New Roman" w:eastAsia="Times New Roman" w:hAnsi="Times New Roman" w:cs="David" w:hint="cs"/>
          <w:b/>
          <w:bCs/>
          <w:color w:val="auto"/>
          <w:spacing w:val="0"/>
          <w:sz w:val="24"/>
          <w:szCs w:val="26"/>
          <w:u w:val="single"/>
          <w:rtl/>
          <w:lang w:eastAsia="he-IL"/>
        </w:rPr>
        <w:t xml:space="preserve">לפסקה </w:t>
      </w:r>
      <w:r w:rsidR="00334F11">
        <w:rPr>
          <w:rFonts w:ascii="Times New Roman" w:eastAsia="Times New Roman" w:hAnsi="Times New Roman" w:cs="David" w:hint="cs"/>
          <w:b/>
          <w:bCs/>
          <w:color w:val="auto"/>
          <w:spacing w:val="0"/>
          <w:sz w:val="24"/>
          <w:szCs w:val="26"/>
          <w:u w:val="single"/>
          <w:rtl/>
          <w:lang w:eastAsia="he-IL"/>
        </w:rPr>
        <w:t>2</w:t>
      </w:r>
      <w:r>
        <w:rPr>
          <w:rFonts w:ascii="Times New Roman" w:eastAsia="Times New Roman" w:hAnsi="Times New Roman" w:cs="David" w:hint="cs"/>
          <w:b/>
          <w:bCs/>
          <w:color w:val="auto"/>
          <w:spacing w:val="0"/>
          <w:sz w:val="24"/>
          <w:szCs w:val="26"/>
          <w:u w:val="single"/>
          <w:rtl/>
          <w:lang w:eastAsia="he-IL"/>
        </w:rPr>
        <w:t xml:space="preserve"> </w:t>
      </w:r>
    </w:p>
    <w:p w:rsidR="00D7132A" w:rsidRPr="00A6641C" w:rsidRDefault="00D7132A" w:rsidP="00A6641C">
      <w:pPr>
        <w:pStyle w:val="HeadHatzaotHok"/>
        <w:keepNext w:val="0"/>
        <w:keepLines w:val="0"/>
        <w:jc w:val="both"/>
        <w:rPr>
          <w:b w:val="0"/>
          <w:bCs w:val="0"/>
          <w:rtl/>
        </w:rPr>
      </w:pPr>
      <w:r w:rsidRPr="00A6641C">
        <w:rPr>
          <w:b w:val="0"/>
          <w:bCs w:val="0"/>
          <w:rtl/>
        </w:rPr>
        <w:t>מוצע כי מזכיר מוסד התכנון יהיה רשאי להפיץ את סדר היום לישיבות רשות הרישוי שני ימי עבודה לפני מועד הדיון, במקום שבעה ימים כנדרש בחוק כיום, כדי לאפשר את ייעול הליכי הדיון ברשויות הרישוי השונות. הסדר זה דומה להסדר שנקבע בתוספת השנייה לפקודת העיריות</w:t>
      </w:r>
      <w:r w:rsidRPr="00A6641C">
        <w:rPr>
          <w:rFonts w:hint="cs"/>
          <w:b w:val="0"/>
          <w:bCs w:val="0"/>
          <w:rtl/>
        </w:rPr>
        <w:t>,</w:t>
      </w:r>
      <w:r w:rsidRPr="00A6641C">
        <w:rPr>
          <w:b w:val="0"/>
          <w:bCs w:val="0"/>
          <w:rtl/>
        </w:rPr>
        <w:t xml:space="preserve"> לפיו סדר יום של מליאת המועצה יופץ 48 שעות לפחות לפני ישיבת מליאת המועצה המקומית (למעט לישיבות בנושא תקציב).</w:t>
      </w:r>
    </w:p>
    <w:p w:rsidR="00A6641C" w:rsidRDefault="00A6641C" w:rsidP="00334F11">
      <w:pPr>
        <w:spacing w:after="120" w:line="360" w:lineRule="auto"/>
        <w:ind w:firstLine="0"/>
        <w:rPr>
          <w:rFonts w:ascii="Times New Roman" w:eastAsia="Times New Roman" w:hAnsi="Times New Roman" w:cs="David"/>
          <w:b/>
          <w:bCs/>
          <w:color w:val="auto"/>
          <w:spacing w:val="0"/>
          <w:sz w:val="24"/>
          <w:szCs w:val="26"/>
          <w:u w:val="single"/>
          <w:rtl/>
          <w:lang w:eastAsia="he-IL"/>
        </w:rPr>
      </w:pPr>
    </w:p>
    <w:p w:rsidR="00A45D6D" w:rsidRPr="00907FE2" w:rsidRDefault="00A45D6D" w:rsidP="00334F11">
      <w:pPr>
        <w:spacing w:after="120" w:line="360" w:lineRule="auto"/>
        <w:ind w:firstLine="0"/>
        <w:rPr>
          <w:rFonts w:ascii="Times New Roman" w:eastAsia="Times New Roman" w:hAnsi="Times New Roman" w:cs="David"/>
          <w:b/>
          <w:bCs/>
          <w:color w:val="auto"/>
          <w:spacing w:val="0"/>
          <w:sz w:val="24"/>
          <w:szCs w:val="26"/>
          <w:u w:val="single"/>
          <w:rtl/>
          <w:lang w:eastAsia="he-IL"/>
        </w:rPr>
      </w:pPr>
      <w:r>
        <w:rPr>
          <w:rFonts w:ascii="Times New Roman" w:eastAsia="Times New Roman" w:hAnsi="Times New Roman" w:cs="David" w:hint="cs"/>
          <w:b/>
          <w:bCs/>
          <w:color w:val="auto"/>
          <w:spacing w:val="0"/>
          <w:sz w:val="24"/>
          <w:szCs w:val="26"/>
          <w:u w:val="single"/>
          <w:rtl/>
          <w:lang w:eastAsia="he-IL"/>
        </w:rPr>
        <w:t xml:space="preserve">לפסקה </w:t>
      </w:r>
      <w:r w:rsidR="00334F11">
        <w:rPr>
          <w:rFonts w:ascii="Times New Roman" w:eastAsia="Times New Roman" w:hAnsi="Times New Roman" w:cs="David" w:hint="cs"/>
          <w:b/>
          <w:bCs/>
          <w:color w:val="auto"/>
          <w:spacing w:val="0"/>
          <w:sz w:val="24"/>
          <w:szCs w:val="26"/>
          <w:u w:val="single"/>
          <w:rtl/>
          <w:lang w:eastAsia="he-IL"/>
        </w:rPr>
        <w:t>3</w:t>
      </w:r>
      <w:r>
        <w:rPr>
          <w:rFonts w:ascii="Times New Roman" w:eastAsia="Times New Roman" w:hAnsi="Times New Roman" w:cs="David" w:hint="cs"/>
          <w:b/>
          <w:bCs/>
          <w:color w:val="auto"/>
          <w:spacing w:val="0"/>
          <w:sz w:val="24"/>
          <w:szCs w:val="26"/>
          <w:u w:val="single"/>
          <w:rtl/>
          <w:lang w:eastAsia="he-IL"/>
        </w:rPr>
        <w:t xml:space="preserve"> </w:t>
      </w:r>
    </w:p>
    <w:p w:rsidR="00D7132A" w:rsidRPr="00A6641C" w:rsidRDefault="00D7132A" w:rsidP="00A6641C">
      <w:pPr>
        <w:pStyle w:val="HeadHatzaotHok"/>
        <w:keepNext w:val="0"/>
        <w:keepLines w:val="0"/>
        <w:jc w:val="both"/>
        <w:rPr>
          <w:b w:val="0"/>
          <w:bCs w:val="0"/>
          <w:rtl/>
        </w:rPr>
      </w:pPr>
      <w:r w:rsidRPr="00A6641C">
        <w:rPr>
          <w:b w:val="0"/>
          <w:bCs w:val="0"/>
          <w:rtl/>
        </w:rPr>
        <w:lastRenderedPageBreak/>
        <w:t xml:space="preserve">תכנון מפורט </w:t>
      </w:r>
      <w:r w:rsidRPr="00A6641C">
        <w:rPr>
          <w:rFonts w:hint="cs"/>
          <w:b w:val="0"/>
          <w:bCs w:val="0"/>
          <w:rtl/>
        </w:rPr>
        <w:t>ש</w:t>
      </w:r>
      <w:r w:rsidRPr="00A6641C">
        <w:rPr>
          <w:b w:val="0"/>
          <w:bCs w:val="0"/>
          <w:rtl/>
        </w:rPr>
        <w:t>ל</w:t>
      </w:r>
      <w:r w:rsidRPr="00A6641C">
        <w:rPr>
          <w:rFonts w:hint="cs"/>
          <w:b w:val="0"/>
          <w:bCs w:val="0"/>
          <w:rtl/>
        </w:rPr>
        <w:t xml:space="preserve"> </w:t>
      </w:r>
      <w:r w:rsidRPr="00A6641C">
        <w:rPr>
          <w:b w:val="0"/>
          <w:bCs w:val="0"/>
          <w:rtl/>
        </w:rPr>
        <w:t>תשתיות לאומיות אינו מתבצע רק בוועדה לתשתיות לאומיות אלא גם במועצה הארצית לתכנון ובנייה</w:t>
      </w:r>
      <w:r w:rsidRPr="00A6641C">
        <w:rPr>
          <w:rFonts w:hint="cs"/>
          <w:b w:val="0"/>
          <w:bCs w:val="0"/>
          <w:rtl/>
        </w:rPr>
        <w:t xml:space="preserve"> ו</w:t>
      </w:r>
      <w:r w:rsidRPr="00A6641C">
        <w:rPr>
          <w:b w:val="0"/>
          <w:bCs w:val="0"/>
          <w:rtl/>
        </w:rPr>
        <w:t>בו</w:t>
      </w:r>
      <w:r w:rsidRPr="00A6641C">
        <w:rPr>
          <w:rFonts w:hint="cs"/>
          <w:b w:val="0"/>
          <w:bCs w:val="0"/>
          <w:rtl/>
        </w:rPr>
        <w:t>ועדה הארצית לתכנון ובניה של מתחמים מועדפים לדיור (להלן- הותמ"ל)</w:t>
      </w:r>
      <w:r w:rsidRPr="00A6641C">
        <w:rPr>
          <w:b w:val="0"/>
          <w:bCs w:val="0"/>
          <w:rtl/>
        </w:rPr>
        <w:t xml:space="preserve">. עם זאת, </w:t>
      </w:r>
      <w:r w:rsidRPr="00A6641C">
        <w:rPr>
          <w:rFonts w:hint="cs"/>
          <w:b w:val="0"/>
          <w:bCs w:val="0"/>
          <w:rtl/>
        </w:rPr>
        <w:t xml:space="preserve">הליך </w:t>
      </w:r>
      <w:r w:rsidRPr="00A6641C">
        <w:rPr>
          <w:b w:val="0"/>
          <w:bCs w:val="0"/>
          <w:rtl/>
        </w:rPr>
        <w:t xml:space="preserve">הרישוי של תכניות אלו </w:t>
      </w:r>
      <w:r w:rsidRPr="00A6641C">
        <w:rPr>
          <w:rFonts w:hint="cs"/>
          <w:b w:val="0"/>
          <w:bCs w:val="0"/>
          <w:rtl/>
        </w:rPr>
        <w:t>הוא</w:t>
      </w:r>
      <w:r w:rsidRPr="00A6641C">
        <w:rPr>
          <w:b w:val="0"/>
          <w:bCs w:val="0"/>
          <w:rtl/>
        </w:rPr>
        <w:t xml:space="preserve"> בסמכות ועדה מקומית. לאור האמור, </w:t>
      </w:r>
      <w:r w:rsidRPr="00A6641C">
        <w:rPr>
          <w:rFonts w:hint="cs"/>
          <w:b w:val="0"/>
          <w:bCs w:val="0"/>
          <w:rtl/>
        </w:rPr>
        <w:t>בכדי</w:t>
      </w:r>
      <w:r w:rsidRPr="00A6641C">
        <w:rPr>
          <w:b w:val="0"/>
          <w:bCs w:val="0"/>
          <w:rtl/>
        </w:rPr>
        <w:t xml:space="preserve"> להשוות תכני</w:t>
      </w:r>
      <w:r w:rsidRPr="00A6641C">
        <w:rPr>
          <w:rFonts w:hint="cs"/>
          <w:b w:val="0"/>
          <w:bCs w:val="0"/>
          <w:rtl/>
        </w:rPr>
        <w:t>ו</w:t>
      </w:r>
      <w:r w:rsidRPr="00A6641C">
        <w:rPr>
          <w:b w:val="0"/>
          <w:bCs w:val="0"/>
          <w:rtl/>
        </w:rPr>
        <w:t xml:space="preserve">ת בסמכות ארצית לתכנית לתשתיות לאומיות, בכל הנוגע לסמכות בדבר הוצאת היתרים, </w:t>
      </w:r>
      <w:r w:rsidRPr="00A6641C">
        <w:rPr>
          <w:rFonts w:hint="cs"/>
          <w:b w:val="0"/>
          <w:bCs w:val="0"/>
          <w:rtl/>
        </w:rPr>
        <w:t xml:space="preserve">ובכדי להקל על העומס ברשויות הרישוי המקומיות, מוצע </w:t>
      </w:r>
      <w:r w:rsidRPr="00A6641C">
        <w:rPr>
          <w:b w:val="0"/>
          <w:bCs w:val="0"/>
          <w:rtl/>
        </w:rPr>
        <w:t xml:space="preserve">לקבוע שגם </w:t>
      </w:r>
      <w:r w:rsidRPr="00A6641C">
        <w:rPr>
          <w:rFonts w:hint="cs"/>
          <w:b w:val="0"/>
          <w:bCs w:val="0"/>
          <w:rtl/>
        </w:rPr>
        <w:t xml:space="preserve">בתכנית בסמכות ארצית </w:t>
      </w:r>
      <w:r w:rsidRPr="00A6641C">
        <w:rPr>
          <w:b w:val="0"/>
          <w:bCs w:val="0"/>
          <w:rtl/>
        </w:rPr>
        <w:t>הכוללת הוראות ברמה מפורטת או בתשתיות לאומיות שהינן חלק מתכנית שתוכננה בו</w:t>
      </w:r>
      <w:r w:rsidRPr="00A6641C">
        <w:rPr>
          <w:rFonts w:hint="cs"/>
          <w:b w:val="0"/>
          <w:bCs w:val="0"/>
          <w:rtl/>
        </w:rPr>
        <w:t>תמ"ל</w:t>
      </w:r>
      <w:r w:rsidRPr="00A6641C">
        <w:rPr>
          <w:b w:val="0"/>
          <w:bCs w:val="0"/>
          <w:rtl/>
        </w:rPr>
        <w:t>, תינתן אפשרות להגיש בקשה להיתר מכוחה, לרשות הרישוי של הוועדה לתשתיות</w:t>
      </w:r>
      <w:r w:rsidRPr="00A6641C">
        <w:rPr>
          <w:rFonts w:hint="cs"/>
          <w:b w:val="0"/>
          <w:bCs w:val="0"/>
          <w:rtl/>
        </w:rPr>
        <w:t xml:space="preserve"> לאומיות</w:t>
      </w:r>
      <w:r w:rsidRPr="00A6641C">
        <w:rPr>
          <w:b w:val="0"/>
          <w:bCs w:val="0"/>
          <w:rtl/>
        </w:rPr>
        <w:t>.</w:t>
      </w:r>
    </w:p>
    <w:p w:rsidR="00D7132A" w:rsidRPr="00492E37" w:rsidRDefault="00D7132A" w:rsidP="00D7132A">
      <w:pPr>
        <w:spacing w:before="0" w:line="276" w:lineRule="auto"/>
        <w:ind w:firstLine="0"/>
        <w:rPr>
          <w:rFonts w:ascii="David" w:eastAsia="Arial Unicode MS" w:hAnsi="David" w:cs="David"/>
          <w:snapToGrid w:val="0"/>
          <w:spacing w:val="0"/>
          <w:sz w:val="26"/>
          <w:szCs w:val="26"/>
          <w:rtl/>
        </w:rPr>
      </w:pPr>
    </w:p>
    <w:p w:rsidR="00A45D6D" w:rsidRDefault="00A45D6D" w:rsidP="00A45D6D">
      <w:pPr>
        <w:spacing w:before="0" w:line="276" w:lineRule="auto"/>
        <w:ind w:firstLine="0"/>
        <w:rPr>
          <w:rFonts w:ascii="Arial" w:eastAsia="Arial Unicode MS" w:hAnsi="Arial" w:cs="David"/>
          <w:snapToGrid w:val="0"/>
          <w:spacing w:val="0"/>
          <w:sz w:val="20"/>
          <w:szCs w:val="26"/>
          <w:rtl/>
        </w:rPr>
      </w:pPr>
    </w:p>
    <w:p w:rsidR="00A45D6D" w:rsidRPr="00907FE2" w:rsidRDefault="00A45D6D" w:rsidP="00334F11">
      <w:pPr>
        <w:spacing w:after="120" w:line="360" w:lineRule="auto"/>
        <w:ind w:firstLine="0"/>
        <w:rPr>
          <w:rFonts w:ascii="Times New Roman" w:eastAsia="Times New Roman" w:hAnsi="Times New Roman" w:cs="David"/>
          <w:b/>
          <w:bCs/>
          <w:color w:val="auto"/>
          <w:spacing w:val="0"/>
          <w:sz w:val="24"/>
          <w:szCs w:val="26"/>
          <w:u w:val="single"/>
          <w:rtl/>
          <w:lang w:eastAsia="he-IL"/>
        </w:rPr>
      </w:pPr>
      <w:r>
        <w:rPr>
          <w:rFonts w:ascii="Times New Roman" w:eastAsia="Times New Roman" w:hAnsi="Times New Roman" w:cs="David" w:hint="cs"/>
          <w:b/>
          <w:bCs/>
          <w:color w:val="auto"/>
          <w:spacing w:val="0"/>
          <w:sz w:val="24"/>
          <w:szCs w:val="26"/>
          <w:u w:val="single"/>
          <w:rtl/>
          <w:lang w:eastAsia="he-IL"/>
        </w:rPr>
        <w:t xml:space="preserve">לפסקה </w:t>
      </w:r>
      <w:r w:rsidR="00334F11">
        <w:rPr>
          <w:rFonts w:ascii="Times New Roman" w:eastAsia="Times New Roman" w:hAnsi="Times New Roman" w:cs="David" w:hint="cs"/>
          <w:b/>
          <w:bCs/>
          <w:color w:val="auto"/>
          <w:spacing w:val="0"/>
          <w:sz w:val="24"/>
          <w:szCs w:val="26"/>
          <w:u w:val="single"/>
          <w:rtl/>
          <w:lang w:eastAsia="he-IL"/>
        </w:rPr>
        <w:t>4</w:t>
      </w:r>
      <w:r>
        <w:rPr>
          <w:rFonts w:ascii="Times New Roman" w:eastAsia="Times New Roman" w:hAnsi="Times New Roman" w:cs="David" w:hint="cs"/>
          <w:b/>
          <w:bCs/>
          <w:color w:val="auto"/>
          <w:spacing w:val="0"/>
          <w:sz w:val="24"/>
          <w:szCs w:val="26"/>
          <w:u w:val="single"/>
          <w:rtl/>
          <w:lang w:eastAsia="he-IL"/>
        </w:rPr>
        <w:t xml:space="preserve"> </w:t>
      </w:r>
    </w:p>
    <w:p w:rsidR="00A45D6D" w:rsidRDefault="00A45D6D" w:rsidP="00A45D6D">
      <w:pPr>
        <w:spacing w:before="0" w:line="276" w:lineRule="auto"/>
        <w:ind w:firstLine="0"/>
        <w:rPr>
          <w:rFonts w:ascii="Arial" w:eastAsia="Arial Unicode MS" w:hAnsi="Arial" w:cs="David"/>
          <w:snapToGrid w:val="0"/>
          <w:spacing w:val="0"/>
          <w:sz w:val="20"/>
          <w:szCs w:val="26"/>
          <w:rtl/>
        </w:rPr>
      </w:pPr>
    </w:p>
    <w:p w:rsidR="00D7132A" w:rsidRPr="00A6641C" w:rsidRDefault="00D7132A" w:rsidP="00A6641C">
      <w:pPr>
        <w:pStyle w:val="af"/>
        <w:numPr>
          <w:ilvl w:val="0"/>
          <w:numId w:val="11"/>
        </w:numPr>
        <w:spacing w:before="0" w:line="360" w:lineRule="auto"/>
        <w:ind w:left="714" w:hanging="357"/>
        <w:rPr>
          <w:rFonts w:ascii="David" w:eastAsia="Arial Unicode MS" w:hAnsi="David" w:cs="David"/>
          <w:snapToGrid w:val="0"/>
          <w:spacing w:val="0"/>
          <w:sz w:val="26"/>
          <w:szCs w:val="26"/>
        </w:rPr>
      </w:pPr>
      <w:r w:rsidRPr="00D7132A">
        <w:rPr>
          <w:rFonts w:ascii="David" w:hAnsi="David" w:cs="David"/>
          <w:sz w:val="26"/>
          <w:szCs w:val="26"/>
          <w:rtl/>
        </w:rPr>
        <w:t xml:space="preserve">בהליך רישוי הבנייה נדרש שיתוף פעולה בין גורמים פרטיים רבים (דוגמת חברת החשמל, מקורות, רשות העתיקות וכד') לבין רשות הרישוי המקומית שהיתר הבנייה ניתן על-ידה. אי-עמידתם של גורמי החוץ בלוחות הזמנים </w:t>
      </w:r>
      <w:r w:rsidRPr="00D7132A">
        <w:rPr>
          <w:rFonts w:ascii="David" w:hAnsi="David" w:cs="David" w:hint="cs"/>
          <w:sz w:val="26"/>
          <w:szCs w:val="26"/>
          <w:rtl/>
        </w:rPr>
        <w:t>הקבועים</w:t>
      </w:r>
      <w:r w:rsidRPr="00D7132A">
        <w:rPr>
          <w:rFonts w:ascii="David" w:hAnsi="David" w:cs="David"/>
          <w:sz w:val="26"/>
          <w:szCs w:val="26"/>
          <w:rtl/>
        </w:rPr>
        <w:t xml:space="preserve"> בתקנות התכנון והבנייה (רישוי בנייה), התשע"ו-2016 (להלן- </w:t>
      </w:r>
      <w:r w:rsidRPr="00D7132A">
        <w:rPr>
          <w:rFonts w:ascii="David" w:hAnsi="David" w:cs="David"/>
          <w:b/>
          <w:bCs/>
          <w:sz w:val="26"/>
          <w:szCs w:val="26"/>
          <w:rtl/>
        </w:rPr>
        <w:t>תקנות התכנון והבניה</w:t>
      </w:r>
      <w:r w:rsidRPr="00D7132A">
        <w:rPr>
          <w:rFonts w:ascii="David" w:hAnsi="David" w:cs="David"/>
          <w:sz w:val="26"/>
          <w:szCs w:val="26"/>
          <w:rtl/>
        </w:rPr>
        <w:t xml:space="preserve">), מובילה לעיכובים רבים בהליכי הרישוי. על כן מוצע לקבוע כי לשר האוצר תהיה הסמכות לקבוע פיצוי בגובה של 350 ₪ בעד כל יום איחור, אותו ישלמו גורמי החוץ שאינם עומדים בלוחות </w:t>
      </w:r>
      <w:r w:rsidR="00A6641C">
        <w:rPr>
          <w:rFonts w:ascii="David" w:hAnsi="David" w:cs="David"/>
          <w:sz w:val="26"/>
          <w:szCs w:val="26"/>
          <w:rtl/>
        </w:rPr>
        <w:t>הזמנים הקבועים בחוק ליזם התכנית</w:t>
      </w:r>
      <w:r w:rsidR="00A6641C">
        <w:rPr>
          <w:rFonts w:ascii="David" w:hAnsi="David" w:cs="David" w:hint="cs"/>
          <w:sz w:val="26"/>
          <w:szCs w:val="26"/>
          <w:rtl/>
        </w:rPr>
        <w:t>.</w:t>
      </w:r>
    </w:p>
    <w:p w:rsidR="00A6641C" w:rsidRPr="00A6641C" w:rsidRDefault="00A6641C" w:rsidP="00A6641C">
      <w:pPr>
        <w:pStyle w:val="af"/>
        <w:spacing w:before="0" w:line="276" w:lineRule="auto"/>
        <w:ind w:firstLine="0"/>
        <w:rPr>
          <w:rFonts w:ascii="David" w:eastAsia="Arial Unicode MS" w:hAnsi="David" w:cs="David"/>
          <w:snapToGrid w:val="0"/>
          <w:spacing w:val="0"/>
          <w:sz w:val="26"/>
          <w:szCs w:val="26"/>
          <w:rtl/>
        </w:rPr>
      </w:pPr>
    </w:p>
    <w:p w:rsidR="00D7132A" w:rsidRPr="00D7132A" w:rsidRDefault="00D7132A" w:rsidP="00A6641C">
      <w:pPr>
        <w:pStyle w:val="af"/>
        <w:numPr>
          <w:ilvl w:val="0"/>
          <w:numId w:val="11"/>
        </w:numPr>
        <w:spacing w:before="0" w:line="360" w:lineRule="auto"/>
        <w:rPr>
          <w:rFonts w:ascii="David" w:hAnsi="David" w:cs="David"/>
          <w:sz w:val="26"/>
          <w:szCs w:val="26"/>
          <w:rtl/>
        </w:rPr>
      </w:pPr>
      <w:r w:rsidRPr="00D7132A">
        <w:rPr>
          <w:rFonts w:ascii="David" w:hAnsi="David" w:cs="David"/>
          <w:sz w:val="26"/>
          <w:szCs w:val="26"/>
          <w:rtl/>
        </w:rPr>
        <w:t>מחקרים של הבנק העולמי מראים כי פרישת תשתיות תקשורת מתקדמות רחבות פס מביאות לגידול בתמ"ג, גידול בפריון ולעלייה במדדים סוציו</w:t>
      </w:r>
      <w:r w:rsidRPr="00D7132A">
        <w:rPr>
          <w:rFonts w:ascii="David" w:hAnsi="David" w:cs="David" w:hint="cs"/>
          <w:sz w:val="26"/>
          <w:szCs w:val="26"/>
          <w:rtl/>
        </w:rPr>
        <w:t>-</w:t>
      </w:r>
      <w:r w:rsidRPr="00D7132A">
        <w:rPr>
          <w:rFonts w:ascii="David" w:hAnsi="David" w:cs="David"/>
          <w:sz w:val="26"/>
          <w:szCs w:val="26"/>
          <w:rtl/>
        </w:rPr>
        <w:t>אקונומיים נוספים עבור כלל המשק.</w:t>
      </w:r>
      <w:r w:rsidRPr="00D7132A">
        <w:rPr>
          <w:rFonts w:ascii="David" w:hAnsi="David" w:cs="David" w:hint="cs"/>
          <w:sz w:val="26"/>
          <w:szCs w:val="26"/>
          <w:rtl/>
        </w:rPr>
        <w:t xml:space="preserve"> בישראל, שוק</w:t>
      </w:r>
      <w:r w:rsidRPr="00D7132A">
        <w:rPr>
          <w:rFonts w:ascii="David" w:hAnsi="David" w:cs="David"/>
          <w:sz w:val="26"/>
          <w:szCs w:val="26"/>
          <w:rtl/>
        </w:rPr>
        <w:t xml:space="preserve"> תשתיות התקשורת הנייחות מאופיין בחסמי כניסה מבניים בעקבות </w:t>
      </w:r>
      <w:r w:rsidRPr="00D7132A">
        <w:rPr>
          <w:rFonts w:ascii="David" w:hAnsi="David" w:cs="David" w:hint="cs"/>
          <w:sz w:val="26"/>
          <w:szCs w:val="26"/>
          <w:rtl/>
        </w:rPr>
        <w:t>הצורך</w:t>
      </w:r>
      <w:r w:rsidRPr="00D7132A">
        <w:rPr>
          <w:rFonts w:ascii="David" w:hAnsi="David" w:cs="David"/>
          <w:sz w:val="26"/>
          <w:szCs w:val="26"/>
          <w:rtl/>
        </w:rPr>
        <w:t xml:space="preserve"> </w:t>
      </w:r>
      <w:r w:rsidRPr="00D7132A">
        <w:rPr>
          <w:rFonts w:ascii="David" w:hAnsi="David" w:cs="David" w:hint="cs"/>
          <w:sz w:val="26"/>
          <w:szCs w:val="26"/>
          <w:rtl/>
        </w:rPr>
        <w:t>ב</w:t>
      </w:r>
      <w:r w:rsidRPr="00D7132A">
        <w:rPr>
          <w:rFonts w:ascii="David" w:hAnsi="David" w:cs="David"/>
          <w:sz w:val="26"/>
          <w:szCs w:val="26"/>
          <w:rtl/>
        </w:rPr>
        <w:t xml:space="preserve">השקעות בסדרי גודל משמעותיים, זמן החזר השקעה ארוך וכן הצורך בקבלת היתרים מגופי תכנון ורגולציה שונים. בשל כך, </w:t>
      </w:r>
      <w:r w:rsidRPr="00D7132A">
        <w:rPr>
          <w:rFonts w:ascii="David" w:hAnsi="David" w:cs="David" w:hint="cs"/>
          <w:sz w:val="26"/>
          <w:szCs w:val="26"/>
          <w:rtl/>
        </w:rPr>
        <w:t>השוק</w:t>
      </w:r>
      <w:r w:rsidRPr="00D7132A">
        <w:rPr>
          <w:rFonts w:ascii="David" w:hAnsi="David" w:cs="David"/>
          <w:sz w:val="26"/>
          <w:szCs w:val="26"/>
          <w:rtl/>
        </w:rPr>
        <w:t xml:space="preserve"> מאופיין במונופול המחזיק בנתח שוק של כ-70%. היעדר התחרות בתחום פוגעת בתמריץ של המונופול לשדרג את תשתיות התקשורת הנייחות.</w:t>
      </w:r>
      <w:r w:rsidRPr="00D7132A">
        <w:rPr>
          <w:rFonts w:ascii="David" w:hAnsi="David" w:cs="David" w:hint="cs"/>
          <w:sz w:val="26"/>
          <w:szCs w:val="26"/>
          <w:rtl/>
        </w:rPr>
        <w:t xml:space="preserve"> </w:t>
      </w:r>
      <w:r w:rsidRPr="00D7132A">
        <w:rPr>
          <w:rFonts w:ascii="David" w:hAnsi="David" w:cs="David"/>
          <w:sz w:val="26"/>
          <w:szCs w:val="26"/>
          <w:rtl/>
        </w:rPr>
        <w:t>בשנת 2010 ביקשה הממשלה להרחיב את התחרות על ידי הקמת מיזם להנחת רשת תקשורת על גבי תשתיות החשמל.</w:t>
      </w:r>
    </w:p>
    <w:p w:rsidR="00D7132A" w:rsidRDefault="00D7132A" w:rsidP="00A6641C">
      <w:pPr>
        <w:spacing w:before="0" w:line="360" w:lineRule="auto"/>
        <w:ind w:firstLine="0"/>
        <w:rPr>
          <w:rFonts w:ascii="David" w:hAnsi="David" w:cs="David"/>
          <w:sz w:val="26"/>
          <w:szCs w:val="26"/>
          <w:rtl/>
        </w:rPr>
      </w:pPr>
    </w:p>
    <w:p w:rsidR="00D7132A" w:rsidRDefault="00D7132A" w:rsidP="00A6641C">
      <w:pPr>
        <w:spacing w:before="0" w:line="360" w:lineRule="auto"/>
        <w:ind w:left="720" w:firstLine="0"/>
        <w:rPr>
          <w:rFonts w:ascii="David" w:hAnsi="David" w:cs="David"/>
          <w:sz w:val="26"/>
          <w:szCs w:val="26"/>
          <w:rtl/>
        </w:rPr>
      </w:pPr>
      <w:r w:rsidRPr="00210B35">
        <w:rPr>
          <w:rFonts w:ascii="David" w:hAnsi="David" w:cs="David"/>
          <w:sz w:val="26"/>
          <w:szCs w:val="26"/>
          <w:rtl/>
        </w:rPr>
        <w:t xml:space="preserve">תשתיות התקשורת מונחות על גבי רשת חשמל עילית קיימת, ולכן </w:t>
      </w:r>
      <w:r>
        <w:rPr>
          <w:rFonts w:ascii="David" w:hAnsi="David" w:cs="David" w:hint="cs"/>
          <w:sz w:val="26"/>
          <w:szCs w:val="26"/>
          <w:rtl/>
        </w:rPr>
        <w:t>אין בהן שינוי</w:t>
      </w:r>
      <w:r w:rsidRPr="00210B35">
        <w:rPr>
          <w:rFonts w:ascii="David" w:hAnsi="David" w:cs="David"/>
          <w:sz w:val="26"/>
          <w:szCs w:val="26"/>
          <w:rtl/>
        </w:rPr>
        <w:t xml:space="preserve"> </w:t>
      </w:r>
      <w:r>
        <w:rPr>
          <w:rFonts w:ascii="David" w:hAnsi="David" w:cs="David" w:hint="cs"/>
          <w:sz w:val="26"/>
          <w:szCs w:val="26"/>
          <w:rtl/>
        </w:rPr>
        <w:t>מ</w:t>
      </w:r>
      <w:r w:rsidRPr="00210B35">
        <w:rPr>
          <w:rFonts w:ascii="David" w:hAnsi="David" w:cs="David"/>
          <w:sz w:val="26"/>
          <w:szCs w:val="26"/>
          <w:rtl/>
        </w:rPr>
        <w:t>הותי מבחינה הנדסית, סביבתית וחזותית</w:t>
      </w:r>
      <w:r>
        <w:rPr>
          <w:rFonts w:ascii="David" w:hAnsi="David" w:cs="David" w:hint="cs"/>
          <w:sz w:val="26"/>
          <w:szCs w:val="26"/>
          <w:rtl/>
        </w:rPr>
        <w:t>.</w:t>
      </w:r>
      <w:r w:rsidRPr="00210B35">
        <w:rPr>
          <w:rFonts w:ascii="David" w:hAnsi="David" w:cs="David"/>
          <w:sz w:val="26"/>
          <w:szCs w:val="26"/>
          <w:rtl/>
        </w:rPr>
        <w:t xml:space="preserve"> </w:t>
      </w:r>
      <w:r>
        <w:rPr>
          <w:rFonts w:ascii="David" w:hAnsi="David" w:cs="David" w:hint="cs"/>
          <w:sz w:val="26"/>
          <w:szCs w:val="26"/>
          <w:rtl/>
        </w:rPr>
        <w:t xml:space="preserve">כמו כן, </w:t>
      </w:r>
      <w:r w:rsidRPr="00210B35">
        <w:rPr>
          <w:rFonts w:ascii="David" w:hAnsi="David" w:cs="David"/>
          <w:sz w:val="26"/>
          <w:szCs w:val="26"/>
          <w:rtl/>
        </w:rPr>
        <w:t>העבודות מבוצעות על ידי עובדי חברת החשמל, ו</w:t>
      </w:r>
      <w:r>
        <w:rPr>
          <w:rFonts w:ascii="David" w:hAnsi="David" w:cs="David" w:hint="cs"/>
          <w:sz w:val="26"/>
          <w:szCs w:val="26"/>
          <w:rtl/>
        </w:rPr>
        <w:t xml:space="preserve">על כן </w:t>
      </w:r>
      <w:r w:rsidRPr="00210B35">
        <w:rPr>
          <w:rFonts w:ascii="David" w:hAnsi="David" w:cs="David"/>
          <w:sz w:val="26"/>
          <w:szCs w:val="26"/>
          <w:rtl/>
        </w:rPr>
        <w:t xml:space="preserve">אין </w:t>
      </w:r>
      <w:r>
        <w:rPr>
          <w:rFonts w:ascii="David" w:hAnsi="David" w:cs="David" w:hint="cs"/>
          <w:sz w:val="26"/>
          <w:szCs w:val="26"/>
          <w:rtl/>
        </w:rPr>
        <w:t>ב</w:t>
      </w:r>
      <w:r w:rsidRPr="00210B35">
        <w:rPr>
          <w:rFonts w:ascii="David" w:hAnsi="David" w:cs="David"/>
          <w:sz w:val="26"/>
          <w:szCs w:val="26"/>
          <w:rtl/>
        </w:rPr>
        <w:t xml:space="preserve">הן כל השפעה על חוזקה או מהימנותה של רשת החשמל. </w:t>
      </w:r>
    </w:p>
    <w:p w:rsidR="00D7132A" w:rsidRDefault="00D7132A" w:rsidP="00A6641C">
      <w:pPr>
        <w:spacing w:before="0" w:line="360" w:lineRule="auto"/>
        <w:ind w:left="720" w:firstLine="0"/>
        <w:rPr>
          <w:rFonts w:ascii="David" w:hAnsi="David" w:cs="David"/>
          <w:sz w:val="26"/>
          <w:szCs w:val="26"/>
          <w:rtl/>
        </w:rPr>
      </w:pPr>
    </w:p>
    <w:p w:rsidR="00D7132A" w:rsidRPr="00210B35" w:rsidRDefault="00D7132A" w:rsidP="00A6641C">
      <w:pPr>
        <w:spacing w:before="0" w:line="360" w:lineRule="auto"/>
        <w:ind w:left="720" w:firstLine="0"/>
        <w:rPr>
          <w:rFonts w:ascii="David" w:eastAsia="Arial Unicode MS" w:hAnsi="David" w:cs="David"/>
          <w:snapToGrid w:val="0"/>
          <w:spacing w:val="0"/>
          <w:sz w:val="26"/>
          <w:szCs w:val="26"/>
          <w:rtl/>
        </w:rPr>
      </w:pPr>
      <w:r>
        <w:rPr>
          <w:rFonts w:ascii="David" w:hAnsi="David" w:cs="David" w:hint="cs"/>
          <w:sz w:val="26"/>
          <w:szCs w:val="26"/>
          <w:rtl/>
        </w:rPr>
        <w:t>לאור כל האמור</w:t>
      </w:r>
      <w:r w:rsidRPr="00210B35">
        <w:rPr>
          <w:rFonts w:ascii="David" w:hAnsi="David" w:cs="David"/>
          <w:sz w:val="26"/>
          <w:szCs w:val="26"/>
          <w:rtl/>
        </w:rPr>
        <w:t>, מוצע לקבוע כי הנחת רשת תקשורת (סיבים אופטיים) על גבי רשת חשמל קיימת, לרבות התקנת תיבות חיבורים וארונות תקשורת, תהיה פטורה מקבלת היתר בניה והרשאה מהוועדה המקומית ו</w:t>
      </w:r>
      <w:r>
        <w:rPr>
          <w:rFonts w:ascii="David" w:hAnsi="David" w:cs="David" w:hint="cs"/>
          <w:sz w:val="26"/>
          <w:szCs w:val="26"/>
          <w:rtl/>
        </w:rPr>
        <w:t>מ</w:t>
      </w:r>
      <w:r w:rsidRPr="00210B35">
        <w:rPr>
          <w:rFonts w:ascii="David" w:hAnsi="David" w:cs="David"/>
          <w:sz w:val="26"/>
          <w:szCs w:val="26"/>
          <w:rtl/>
        </w:rPr>
        <w:t>מהנדס הוועדה המקומית</w:t>
      </w:r>
      <w:r>
        <w:rPr>
          <w:rFonts w:ascii="David" w:hAnsi="David" w:cs="David" w:hint="cs"/>
          <w:sz w:val="26"/>
          <w:szCs w:val="26"/>
          <w:rtl/>
        </w:rPr>
        <w:t>,</w:t>
      </w:r>
      <w:r w:rsidRPr="00210B35">
        <w:rPr>
          <w:rFonts w:ascii="David" w:hAnsi="David" w:cs="David"/>
          <w:sz w:val="26"/>
          <w:szCs w:val="26"/>
          <w:rtl/>
        </w:rPr>
        <w:t xml:space="preserve"> בהתאמה.</w:t>
      </w:r>
    </w:p>
    <w:p w:rsidR="00D7132A" w:rsidRDefault="00D7132A" w:rsidP="00D7132A">
      <w:pPr>
        <w:spacing w:before="0" w:line="276" w:lineRule="auto"/>
        <w:ind w:firstLine="0"/>
        <w:rPr>
          <w:rFonts w:ascii="David" w:hAnsi="David" w:cs="David"/>
          <w:sz w:val="26"/>
          <w:szCs w:val="26"/>
          <w:rtl/>
        </w:rPr>
      </w:pPr>
    </w:p>
    <w:p w:rsidR="00A45D6D" w:rsidRPr="00907FE2" w:rsidRDefault="00A45D6D" w:rsidP="00D7132A">
      <w:pPr>
        <w:spacing w:after="120" w:line="360" w:lineRule="auto"/>
        <w:ind w:firstLine="0"/>
        <w:rPr>
          <w:rFonts w:ascii="Times New Roman" w:eastAsia="Times New Roman" w:hAnsi="Times New Roman" w:cs="David"/>
          <w:b/>
          <w:bCs/>
          <w:color w:val="auto"/>
          <w:spacing w:val="0"/>
          <w:sz w:val="24"/>
          <w:szCs w:val="26"/>
          <w:u w:val="single"/>
          <w:rtl/>
          <w:lang w:eastAsia="he-IL"/>
        </w:rPr>
      </w:pPr>
      <w:r>
        <w:rPr>
          <w:rFonts w:ascii="Times New Roman" w:eastAsia="Times New Roman" w:hAnsi="Times New Roman" w:cs="David" w:hint="cs"/>
          <w:b/>
          <w:bCs/>
          <w:color w:val="auto"/>
          <w:spacing w:val="0"/>
          <w:sz w:val="24"/>
          <w:szCs w:val="26"/>
          <w:u w:val="single"/>
          <w:rtl/>
          <w:lang w:eastAsia="he-IL"/>
        </w:rPr>
        <w:t xml:space="preserve">לפסקה </w:t>
      </w:r>
      <w:r w:rsidR="00D7132A">
        <w:rPr>
          <w:rFonts w:ascii="Times New Roman" w:eastAsia="Times New Roman" w:hAnsi="Times New Roman" w:cs="David" w:hint="cs"/>
          <w:b/>
          <w:bCs/>
          <w:color w:val="auto"/>
          <w:spacing w:val="0"/>
          <w:sz w:val="24"/>
          <w:szCs w:val="26"/>
          <w:u w:val="single"/>
          <w:rtl/>
          <w:lang w:eastAsia="he-IL"/>
        </w:rPr>
        <w:t>5</w:t>
      </w:r>
      <w:r>
        <w:rPr>
          <w:rFonts w:ascii="Times New Roman" w:eastAsia="Times New Roman" w:hAnsi="Times New Roman" w:cs="David" w:hint="cs"/>
          <w:b/>
          <w:bCs/>
          <w:color w:val="auto"/>
          <w:spacing w:val="0"/>
          <w:sz w:val="24"/>
          <w:szCs w:val="26"/>
          <w:u w:val="single"/>
          <w:rtl/>
          <w:lang w:eastAsia="he-IL"/>
        </w:rPr>
        <w:t xml:space="preserve"> </w:t>
      </w:r>
    </w:p>
    <w:p w:rsidR="00D7132A" w:rsidRPr="00492E37" w:rsidRDefault="00D7132A" w:rsidP="00A6641C">
      <w:pPr>
        <w:spacing w:before="0" w:line="360" w:lineRule="auto"/>
        <w:ind w:firstLine="0"/>
        <w:rPr>
          <w:rFonts w:ascii="David" w:eastAsia="Arial Unicode MS" w:hAnsi="David" w:cs="David"/>
          <w:snapToGrid w:val="0"/>
          <w:spacing w:val="0"/>
          <w:sz w:val="26"/>
          <w:szCs w:val="26"/>
          <w:rtl/>
        </w:rPr>
      </w:pPr>
      <w:r w:rsidRPr="00F74C40">
        <w:rPr>
          <w:rFonts w:ascii="David" w:hAnsi="David" w:cs="David"/>
          <w:sz w:val="26"/>
          <w:szCs w:val="26"/>
          <w:rtl/>
        </w:rPr>
        <w:t xml:space="preserve">סעיף 152 לחוק התכנון והבניה קובע כי ועדת ערר רשאית לקבוע כי ההיתר המבוקש יינתן על-ידה. אולם, לוועדות הערר אין למעשה את היכולת ואת כוח האדם לתת היתרי בניה. לפיכך, על מנת למנוע מצב בו ההיתר לא ניתן על אף החלטת ועדת הערר, מוצע לקבוע כי במקרים בהם קיבלה ועדת הערר להיתרים </w:t>
      </w:r>
      <w:r w:rsidRPr="00F74C40">
        <w:rPr>
          <w:rFonts w:ascii="David" w:hAnsi="David" w:cs="David"/>
          <w:sz w:val="26"/>
          <w:szCs w:val="26"/>
          <w:rtl/>
        </w:rPr>
        <w:lastRenderedPageBreak/>
        <w:t>את הערר, מגיש התכנית יהיה רשאי לפנות גם לרשות הרישוי המחוזית לשם הוצאת היתר הבנייה</w:t>
      </w:r>
      <w:r w:rsidRPr="00F74C40">
        <w:rPr>
          <w:rFonts w:ascii="David" w:hAnsi="David" w:cs="David" w:hint="cs"/>
          <w:sz w:val="26"/>
          <w:szCs w:val="26"/>
          <w:rtl/>
        </w:rPr>
        <w:t>. עוד מוצע לקבוע כי שר האוצר יהיה רשאי לקבוע הוראות לעניין הגורם המוסמך ליתן היתרים שהוגש עליהם ערר ואופן נתינתם</w:t>
      </w:r>
      <w:r w:rsidRPr="00F74C40">
        <w:rPr>
          <w:rFonts w:ascii="David" w:hAnsi="David" w:cs="David"/>
          <w:sz w:val="26"/>
          <w:szCs w:val="26"/>
          <w:rtl/>
        </w:rPr>
        <w:t xml:space="preserve">. </w:t>
      </w:r>
    </w:p>
    <w:p w:rsidR="00A45D6D" w:rsidRDefault="00A45D6D" w:rsidP="00A45D6D">
      <w:pPr>
        <w:spacing w:before="0" w:line="276" w:lineRule="auto"/>
        <w:ind w:firstLine="0"/>
        <w:rPr>
          <w:rFonts w:ascii="Arial" w:eastAsia="Arial Unicode MS" w:hAnsi="Arial" w:cs="David"/>
          <w:snapToGrid w:val="0"/>
          <w:spacing w:val="0"/>
          <w:sz w:val="20"/>
          <w:szCs w:val="26"/>
          <w:rtl/>
        </w:rPr>
      </w:pPr>
    </w:p>
    <w:p w:rsidR="00A45D6D" w:rsidRPr="00907FE2" w:rsidRDefault="00A45D6D" w:rsidP="00D7132A">
      <w:pPr>
        <w:spacing w:after="120" w:line="360" w:lineRule="auto"/>
        <w:ind w:firstLine="0"/>
        <w:rPr>
          <w:rFonts w:ascii="Times New Roman" w:eastAsia="Times New Roman" w:hAnsi="Times New Roman" w:cs="David"/>
          <w:b/>
          <w:bCs/>
          <w:color w:val="auto"/>
          <w:spacing w:val="0"/>
          <w:sz w:val="24"/>
          <w:szCs w:val="26"/>
          <w:u w:val="single"/>
          <w:rtl/>
          <w:lang w:eastAsia="he-IL"/>
        </w:rPr>
      </w:pPr>
      <w:r>
        <w:rPr>
          <w:rFonts w:ascii="Times New Roman" w:eastAsia="Times New Roman" w:hAnsi="Times New Roman" w:cs="David" w:hint="cs"/>
          <w:b/>
          <w:bCs/>
          <w:color w:val="auto"/>
          <w:spacing w:val="0"/>
          <w:sz w:val="24"/>
          <w:szCs w:val="26"/>
          <w:u w:val="single"/>
          <w:rtl/>
          <w:lang w:eastAsia="he-IL"/>
        </w:rPr>
        <w:t xml:space="preserve">לפסקה </w:t>
      </w:r>
      <w:r w:rsidR="00D7132A">
        <w:rPr>
          <w:rFonts w:ascii="Times New Roman" w:eastAsia="Times New Roman" w:hAnsi="Times New Roman" w:cs="David" w:hint="cs"/>
          <w:b/>
          <w:bCs/>
          <w:color w:val="auto"/>
          <w:spacing w:val="0"/>
          <w:sz w:val="24"/>
          <w:szCs w:val="26"/>
          <w:u w:val="single"/>
          <w:rtl/>
          <w:lang w:eastAsia="he-IL"/>
        </w:rPr>
        <w:t>6</w:t>
      </w:r>
      <w:r>
        <w:rPr>
          <w:rFonts w:ascii="Times New Roman" w:eastAsia="Times New Roman" w:hAnsi="Times New Roman" w:cs="David" w:hint="cs"/>
          <w:b/>
          <w:bCs/>
          <w:color w:val="auto"/>
          <w:spacing w:val="0"/>
          <w:sz w:val="24"/>
          <w:szCs w:val="26"/>
          <w:u w:val="single"/>
          <w:rtl/>
          <w:lang w:eastAsia="he-IL"/>
        </w:rPr>
        <w:t xml:space="preserve"> </w:t>
      </w:r>
    </w:p>
    <w:p w:rsidR="00001026" w:rsidRDefault="00001026" w:rsidP="00A6641C">
      <w:pPr>
        <w:spacing w:before="0" w:line="360" w:lineRule="auto"/>
        <w:ind w:firstLine="0"/>
        <w:rPr>
          <w:rFonts w:ascii="David" w:hAnsi="David" w:cs="David"/>
          <w:sz w:val="26"/>
          <w:szCs w:val="26"/>
          <w:rtl/>
        </w:rPr>
      </w:pPr>
      <w:r w:rsidRPr="00210B35">
        <w:rPr>
          <w:rFonts w:ascii="David" w:hAnsi="David" w:cs="David"/>
          <w:sz w:val="26"/>
          <w:szCs w:val="26"/>
          <w:rtl/>
        </w:rPr>
        <w:t xml:space="preserve">שוק הסלולר מאופיין בגידול תכוף ומשמעותי של כ-70% בשנה בהיקף ובסוגי השימושים שצרכנים מבקשים לעשות באמצעות הרשת הסלולרית, לרבות הפצת תכנים, ערים חכמות, תחבורה חכמה ושירותי בריאות. רוחב הפס הממוצע הניתן על ידי מפעיל סלולרי בישראל נמוך בהשוואה עולמית, ומגביל את יכולה של רשת הסלולר להציע ללקוחותיה קצב גלישה גבוה ושירותים מתקדמים. על מנת </w:t>
      </w:r>
      <w:r>
        <w:rPr>
          <w:rFonts w:ascii="David" w:hAnsi="David" w:cs="David" w:hint="cs"/>
          <w:sz w:val="26"/>
          <w:szCs w:val="26"/>
          <w:rtl/>
        </w:rPr>
        <w:t xml:space="preserve">שניתן יהיה </w:t>
      </w:r>
      <w:r w:rsidRPr="00210B35">
        <w:rPr>
          <w:rFonts w:ascii="David" w:hAnsi="David" w:cs="David"/>
          <w:sz w:val="26"/>
          <w:szCs w:val="26"/>
          <w:rtl/>
        </w:rPr>
        <w:t>להקצות תחומי תדר נוספים לשירותי סלולר, חברות הסלולר נדרשות לפנות תחומי תדר שהוקצו להם בעבר. החלפת התדרים אף נדרשת על מנת לעמוד בהועדה העולמית באזורנו.</w:t>
      </w:r>
      <w:r>
        <w:rPr>
          <w:rFonts w:ascii="David" w:hAnsi="David" w:cs="David" w:hint="cs"/>
          <w:sz w:val="26"/>
          <w:szCs w:val="26"/>
          <w:rtl/>
        </w:rPr>
        <w:t xml:space="preserve"> </w:t>
      </w:r>
      <w:r w:rsidRPr="00210B35">
        <w:rPr>
          <w:rFonts w:ascii="David" w:hAnsi="David" w:cs="David"/>
          <w:sz w:val="26"/>
          <w:szCs w:val="26"/>
          <w:rtl/>
        </w:rPr>
        <w:t>החלפת תחומי תדר היא פרויקט הנדסי מורכב, המחייב החלפה של אנטנות וציוד נלווה, וחיזוק והחלפת תרנים, בכ-4,000 אתרי סלולר רחבי הארץ. יובהר, כי במסגרת הפרויקט לא יוקמו אתרי סלולר חדשים.</w:t>
      </w:r>
    </w:p>
    <w:p w:rsidR="00001026" w:rsidRDefault="00001026" w:rsidP="00A6641C">
      <w:pPr>
        <w:spacing w:before="0" w:line="360" w:lineRule="auto"/>
        <w:ind w:firstLine="0"/>
        <w:rPr>
          <w:rFonts w:ascii="David" w:hAnsi="David" w:cs="David"/>
          <w:sz w:val="26"/>
          <w:szCs w:val="26"/>
          <w:rtl/>
        </w:rPr>
      </w:pPr>
    </w:p>
    <w:p w:rsidR="00001026" w:rsidRDefault="00001026" w:rsidP="00A6641C">
      <w:pPr>
        <w:spacing w:before="0" w:line="360" w:lineRule="auto"/>
        <w:ind w:firstLine="0"/>
        <w:rPr>
          <w:rFonts w:ascii="David" w:hAnsi="David" w:cs="David"/>
          <w:sz w:val="26"/>
          <w:szCs w:val="26"/>
          <w:rtl/>
        </w:rPr>
      </w:pPr>
      <w:r w:rsidRPr="00210B35">
        <w:rPr>
          <w:rFonts w:ascii="David" w:hAnsi="David" w:cs="David"/>
          <w:sz w:val="26"/>
          <w:szCs w:val="26"/>
          <w:rtl/>
        </w:rPr>
        <w:t xml:space="preserve">במצב התכנוני הקיים, פעולות אלו מחייבות קבלת היתר בניה חדש, בטרם תבוצע ההחלפה. לאור מספר האתרים הרב, הצורך בקבלת היתר בנייה עבור כל החלפת אנטנה, לא תאפשר השלמת הפרויקט בלוחות הזמנים הרלבנטיים לייעול השימוש בתחומי התדרים המפונים, ואספקת שירותי תקשורת מתקדמים. לכן, מוצע לקבוע כי יינתן פטור מהיתר בניה לטובת הפרויקט בכפוף לעמידה בתנאים הבאים: </w:t>
      </w:r>
      <w:r w:rsidRPr="00F74C40">
        <w:rPr>
          <w:rFonts w:ascii="David" w:hAnsi="David" w:cs="David"/>
          <w:sz w:val="26"/>
          <w:szCs w:val="26"/>
          <w:rtl/>
        </w:rPr>
        <w:t>(1) לאחר החלפת האנטנה, לא תהיה עליה בטווחי הבטיחות שאושרו למתקן הקיים; (2) לא תהיה חריגה מהותית מהממדים של המיתקן הקיים על מרכיביו; (3) השפעת העבודות על הנראות של המתקן תהיה מעטה.</w:t>
      </w:r>
    </w:p>
    <w:p w:rsidR="00A45D6D" w:rsidRDefault="00A45D6D" w:rsidP="00A45D6D">
      <w:pPr>
        <w:spacing w:before="0" w:line="276" w:lineRule="auto"/>
        <w:ind w:firstLine="0"/>
        <w:rPr>
          <w:rFonts w:ascii="Arial" w:eastAsia="Arial Unicode MS" w:hAnsi="Arial" w:cs="David"/>
          <w:snapToGrid w:val="0"/>
          <w:spacing w:val="0"/>
          <w:sz w:val="20"/>
          <w:szCs w:val="26"/>
          <w:rtl/>
        </w:rPr>
      </w:pPr>
    </w:p>
    <w:p w:rsidR="00A45D6D" w:rsidRPr="00907FE2" w:rsidRDefault="00A45D6D" w:rsidP="00A45D6D">
      <w:pPr>
        <w:numPr>
          <w:ilvl w:val="0"/>
          <w:numId w:val="7"/>
        </w:numPr>
        <w:spacing w:after="120" w:line="360" w:lineRule="auto"/>
        <w:rPr>
          <w:rFonts w:ascii="Times New Roman" w:eastAsia="Times New Roman" w:hAnsi="Times New Roman" w:cs="David"/>
          <w:b/>
          <w:bCs/>
          <w:color w:val="auto"/>
          <w:spacing w:val="0"/>
          <w:sz w:val="24"/>
          <w:szCs w:val="26"/>
          <w:u w:val="single"/>
          <w:lang w:eastAsia="he-IL"/>
        </w:rPr>
      </w:pPr>
      <w:r w:rsidRPr="00907FE2">
        <w:rPr>
          <w:rFonts w:ascii="Times New Roman" w:eastAsia="Times New Roman" w:hAnsi="Times New Roman" w:cs="David" w:hint="cs"/>
          <w:b/>
          <w:bCs/>
          <w:color w:val="auto"/>
          <w:spacing w:val="0"/>
          <w:sz w:val="24"/>
          <w:szCs w:val="26"/>
          <w:u w:val="single"/>
          <w:rtl/>
          <w:lang w:eastAsia="he-IL"/>
        </w:rPr>
        <w:t>השפעת החוק המוצע על החוק הקיים</w:t>
      </w:r>
    </w:p>
    <w:p w:rsidR="00A45D6D" w:rsidRPr="00907FE2" w:rsidRDefault="00A45D6D" w:rsidP="00A6641C">
      <w:pPr>
        <w:snapToGrid w:val="0"/>
        <w:spacing w:before="0" w:line="360" w:lineRule="auto"/>
        <w:ind w:firstLine="0"/>
        <w:rPr>
          <w:rFonts w:ascii="Times New Roman" w:eastAsia="Times New Roman" w:hAnsi="Times New Roman" w:cs="David"/>
          <w:color w:val="auto"/>
          <w:spacing w:val="0"/>
          <w:sz w:val="24"/>
          <w:szCs w:val="26"/>
          <w:rtl/>
          <w:lang w:eastAsia="he-IL"/>
        </w:rPr>
      </w:pPr>
      <w:r w:rsidRPr="00907FE2">
        <w:rPr>
          <w:rFonts w:ascii="Times New Roman" w:eastAsia="Times New Roman" w:hAnsi="Times New Roman" w:cs="David" w:hint="cs"/>
          <w:color w:val="auto"/>
          <w:spacing w:val="0"/>
          <w:sz w:val="24"/>
          <w:szCs w:val="26"/>
          <w:rtl/>
          <w:lang w:eastAsia="he-IL"/>
        </w:rPr>
        <w:t xml:space="preserve">תיקון חוק </w:t>
      </w:r>
      <w:r>
        <w:rPr>
          <w:rFonts w:ascii="Times New Roman" w:eastAsia="Times New Roman" w:hAnsi="Times New Roman" w:cs="David" w:hint="cs"/>
          <w:color w:val="auto"/>
          <w:spacing w:val="0"/>
          <w:sz w:val="24"/>
          <w:szCs w:val="26"/>
          <w:rtl/>
          <w:lang w:eastAsia="he-IL"/>
        </w:rPr>
        <w:t>תכנון והבנייה, התשכ"ה-1965</w:t>
      </w:r>
      <w:r w:rsidRPr="00907FE2">
        <w:rPr>
          <w:rFonts w:ascii="Times New Roman" w:eastAsia="Times New Roman" w:hAnsi="Times New Roman" w:cs="David" w:hint="cs"/>
          <w:color w:val="auto"/>
          <w:spacing w:val="0"/>
          <w:sz w:val="24"/>
          <w:szCs w:val="26"/>
          <w:rtl/>
          <w:lang w:eastAsia="he-IL"/>
        </w:rPr>
        <w:t xml:space="preserve">. </w:t>
      </w:r>
    </w:p>
    <w:p w:rsidR="00A45D6D" w:rsidRPr="00907FE2" w:rsidRDefault="00A45D6D" w:rsidP="00A45D6D">
      <w:pPr>
        <w:numPr>
          <w:ilvl w:val="0"/>
          <w:numId w:val="7"/>
        </w:numPr>
        <w:spacing w:after="120" w:line="360" w:lineRule="auto"/>
        <w:rPr>
          <w:rFonts w:ascii="Times New Roman" w:eastAsia="Times New Roman" w:hAnsi="Times New Roman" w:cs="David"/>
          <w:b/>
          <w:bCs/>
          <w:color w:val="auto"/>
          <w:spacing w:val="0"/>
          <w:sz w:val="24"/>
          <w:szCs w:val="26"/>
          <w:u w:val="single"/>
          <w:lang w:eastAsia="he-IL"/>
        </w:rPr>
      </w:pPr>
      <w:r w:rsidRPr="00907FE2">
        <w:rPr>
          <w:rFonts w:ascii="Times New Roman" w:eastAsia="Times New Roman" w:hAnsi="Times New Roman" w:cs="David" w:hint="cs"/>
          <w:b/>
          <w:bCs/>
          <w:color w:val="auto"/>
          <w:spacing w:val="0"/>
          <w:sz w:val="24"/>
          <w:szCs w:val="26"/>
          <w:u w:val="single"/>
          <w:rtl/>
          <w:lang w:eastAsia="he-IL"/>
        </w:rPr>
        <w:t xml:space="preserve">השפעת החוק המוצע על </w:t>
      </w:r>
      <w:r>
        <w:rPr>
          <w:rFonts w:ascii="Times New Roman" w:eastAsia="Times New Roman" w:hAnsi="Times New Roman" w:cs="David" w:hint="cs"/>
          <w:b/>
          <w:bCs/>
          <w:color w:val="auto"/>
          <w:spacing w:val="0"/>
          <w:sz w:val="24"/>
          <w:szCs w:val="26"/>
          <w:u w:val="single"/>
          <w:rtl/>
          <w:lang w:eastAsia="he-IL"/>
        </w:rPr>
        <w:t>תקציב המדינה</w:t>
      </w:r>
    </w:p>
    <w:p w:rsidR="00A45D6D" w:rsidRPr="00C26F0F" w:rsidRDefault="00A45D6D" w:rsidP="00A6641C">
      <w:pPr>
        <w:spacing w:after="120" w:line="360" w:lineRule="auto"/>
        <w:ind w:firstLine="0"/>
        <w:rPr>
          <w:rFonts w:ascii="Times New Roman" w:eastAsia="Times New Roman" w:hAnsi="Times New Roman" w:cs="David"/>
          <w:color w:val="auto"/>
          <w:spacing w:val="0"/>
          <w:sz w:val="24"/>
          <w:szCs w:val="26"/>
          <w:lang w:eastAsia="he-IL"/>
        </w:rPr>
      </w:pPr>
      <w:r w:rsidRPr="00C26F0F">
        <w:rPr>
          <w:rFonts w:ascii="Times New Roman" w:eastAsia="Times New Roman" w:hAnsi="Times New Roman" w:cs="David" w:hint="cs"/>
          <w:color w:val="auto"/>
          <w:spacing w:val="0"/>
          <w:sz w:val="24"/>
          <w:szCs w:val="26"/>
          <w:rtl/>
          <w:lang w:eastAsia="he-IL"/>
        </w:rPr>
        <w:t>לא רלוונטי.</w:t>
      </w:r>
    </w:p>
    <w:p w:rsidR="00A45D6D" w:rsidRPr="00907FE2" w:rsidRDefault="00A45D6D" w:rsidP="00A45D6D">
      <w:pPr>
        <w:numPr>
          <w:ilvl w:val="0"/>
          <w:numId w:val="7"/>
        </w:numPr>
        <w:spacing w:after="120" w:line="360" w:lineRule="auto"/>
        <w:rPr>
          <w:rFonts w:ascii="Times New Roman" w:eastAsia="Times New Roman" w:hAnsi="Times New Roman" w:cs="David"/>
          <w:b/>
          <w:bCs/>
          <w:color w:val="auto"/>
          <w:spacing w:val="0"/>
          <w:sz w:val="24"/>
          <w:szCs w:val="26"/>
          <w:u w:val="single"/>
          <w:rtl/>
          <w:lang w:eastAsia="he-IL"/>
        </w:rPr>
      </w:pPr>
      <w:r w:rsidRPr="00907FE2">
        <w:rPr>
          <w:rFonts w:ascii="Times New Roman" w:eastAsia="Times New Roman" w:hAnsi="Times New Roman" w:cs="David" w:hint="cs"/>
          <w:b/>
          <w:bCs/>
          <w:color w:val="auto"/>
          <w:spacing w:val="0"/>
          <w:sz w:val="24"/>
          <w:szCs w:val="26"/>
          <w:u w:val="single"/>
          <w:rtl/>
          <w:lang w:eastAsia="he-IL"/>
        </w:rPr>
        <w:t>השפעת החוק המוצע על תק</w:t>
      </w:r>
      <w:r>
        <w:rPr>
          <w:rFonts w:ascii="Times New Roman" w:eastAsia="Times New Roman" w:hAnsi="Times New Roman" w:cs="David" w:hint="cs"/>
          <w:b/>
          <w:bCs/>
          <w:color w:val="auto"/>
          <w:spacing w:val="0"/>
          <w:sz w:val="24"/>
          <w:szCs w:val="26"/>
          <w:u w:val="single"/>
          <w:rtl/>
          <w:lang w:eastAsia="he-IL"/>
        </w:rPr>
        <w:t>נים במשרדי הממשלה</w:t>
      </w:r>
      <w:r w:rsidRPr="00907FE2">
        <w:rPr>
          <w:rFonts w:ascii="Times New Roman" w:eastAsia="Times New Roman" w:hAnsi="Times New Roman" w:cs="David" w:hint="cs"/>
          <w:b/>
          <w:bCs/>
          <w:color w:val="auto"/>
          <w:spacing w:val="0"/>
          <w:sz w:val="24"/>
          <w:szCs w:val="26"/>
          <w:u w:val="single"/>
          <w:rtl/>
          <w:lang w:eastAsia="he-IL"/>
        </w:rPr>
        <w:t xml:space="preserve"> </w:t>
      </w:r>
      <w:r>
        <w:rPr>
          <w:rFonts w:ascii="Times New Roman" w:eastAsia="Times New Roman" w:hAnsi="Times New Roman" w:cs="David" w:hint="cs"/>
          <w:b/>
          <w:bCs/>
          <w:color w:val="auto"/>
          <w:spacing w:val="0"/>
          <w:sz w:val="24"/>
          <w:szCs w:val="26"/>
          <w:u w:val="single"/>
          <w:rtl/>
          <w:lang w:eastAsia="he-IL"/>
        </w:rPr>
        <w:t xml:space="preserve">וההיבט </w:t>
      </w:r>
      <w:r w:rsidRPr="00907FE2">
        <w:rPr>
          <w:rFonts w:ascii="Times New Roman" w:eastAsia="Times New Roman" w:hAnsi="Times New Roman" w:cs="David" w:hint="cs"/>
          <w:b/>
          <w:bCs/>
          <w:color w:val="auto"/>
          <w:spacing w:val="0"/>
          <w:sz w:val="24"/>
          <w:szCs w:val="26"/>
          <w:u w:val="single"/>
          <w:rtl/>
          <w:lang w:eastAsia="he-IL"/>
        </w:rPr>
        <w:t>המ</w:t>
      </w:r>
      <w:r>
        <w:rPr>
          <w:rFonts w:ascii="Times New Roman" w:eastAsia="Times New Roman" w:hAnsi="Times New Roman" w:cs="David" w:hint="cs"/>
          <w:b/>
          <w:bCs/>
          <w:color w:val="auto"/>
          <w:spacing w:val="0"/>
          <w:sz w:val="24"/>
          <w:szCs w:val="26"/>
          <w:u w:val="single"/>
          <w:rtl/>
          <w:lang w:eastAsia="he-IL"/>
        </w:rPr>
        <w:t>י</w:t>
      </w:r>
      <w:r w:rsidRPr="00907FE2">
        <w:rPr>
          <w:rFonts w:ascii="Times New Roman" w:eastAsia="Times New Roman" w:hAnsi="Times New Roman" w:cs="David" w:hint="cs"/>
          <w:b/>
          <w:bCs/>
          <w:color w:val="auto"/>
          <w:spacing w:val="0"/>
          <w:sz w:val="24"/>
          <w:szCs w:val="26"/>
          <w:u w:val="single"/>
          <w:rtl/>
          <w:lang w:eastAsia="he-IL"/>
        </w:rPr>
        <w:t xml:space="preserve">נהלי </w:t>
      </w:r>
    </w:p>
    <w:p w:rsidR="00A45D6D" w:rsidRDefault="00A45D6D" w:rsidP="00A6641C">
      <w:pPr>
        <w:spacing w:before="0" w:line="360" w:lineRule="auto"/>
        <w:ind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לא רלוונטי.</w:t>
      </w:r>
    </w:p>
    <w:p w:rsidR="00A45D6D" w:rsidRPr="00907FE2" w:rsidRDefault="00A45D6D" w:rsidP="00A45D6D">
      <w:pPr>
        <w:numPr>
          <w:ilvl w:val="0"/>
          <w:numId w:val="7"/>
        </w:numPr>
        <w:spacing w:after="120" w:line="360" w:lineRule="auto"/>
        <w:rPr>
          <w:rFonts w:ascii="Times New Roman" w:eastAsia="Times New Roman" w:hAnsi="Times New Roman" w:cs="David"/>
          <w:b/>
          <w:bCs/>
          <w:color w:val="auto"/>
          <w:spacing w:val="0"/>
          <w:sz w:val="24"/>
          <w:szCs w:val="26"/>
          <w:u w:val="single"/>
          <w:rtl/>
          <w:lang w:eastAsia="he-IL"/>
        </w:rPr>
      </w:pPr>
      <w:r w:rsidRPr="00907FE2">
        <w:rPr>
          <w:rFonts w:ascii="Times New Roman" w:eastAsia="Times New Roman" w:hAnsi="Times New Roman" w:cs="David" w:hint="cs"/>
          <w:b/>
          <w:bCs/>
          <w:color w:val="auto"/>
          <w:spacing w:val="0"/>
          <w:sz w:val="24"/>
          <w:szCs w:val="26"/>
          <w:u w:val="single"/>
          <w:rtl/>
          <w:lang w:eastAsia="he-IL"/>
        </w:rPr>
        <w:t>להלן נוסח החוק המוצע.</w:t>
      </w:r>
    </w:p>
    <w:p w:rsidR="00A45D6D" w:rsidRDefault="00A45D6D">
      <w:pPr>
        <w:widowControl/>
        <w:autoSpaceDE/>
        <w:autoSpaceDN/>
        <w:bidi w:val="0"/>
        <w:adjustRightInd/>
        <w:spacing w:before="0" w:line="240" w:lineRule="auto"/>
        <w:ind w:firstLine="0"/>
        <w:jc w:val="left"/>
        <w:textAlignment w:val="auto"/>
        <w:rPr>
          <w:rFonts w:ascii="Arial" w:eastAsia="Arial Unicode MS" w:hAnsi="Arial" w:cs="David"/>
          <w:b/>
          <w:bCs/>
          <w:snapToGrid w:val="0"/>
          <w:spacing w:val="0"/>
          <w:sz w:val="20"/>
          <w:szCs w:val="26"/>
        </w:rPr>
      </w:pPr>
      <w:r>
        <w:rPr>
          <w:rtl/>
        </w:rPr>
        <w:br w:type="page"/>
      </w:r>
    </w:p>
    <w:p w:rsidR="00334F11" w:rsidRDefault="00334F11" w:rsidP="00334F11">
      <w:pPr>
        <w:pStyle w:val="HeadHatzaotHok"/>
        <w:keepNext w:val="0"/>
        <w:keepLines w:val="0"/>
        <w:rPr>
          <w:rFonts w:ascii="David" w:hAnsi="David"/>
          <w:sz w:val="26"/>
          <w:rtl/>
        </w:rPr>
      </w:pPr>
      <w:r w:rsidRPr="002A24F7">
        <w:rPr>
          <w:rFonts w:ascii="David" w:hAnsi="David"/>
          <w:sz w:val="26"/>
          <w:rtl/>
        </w:rPr>
        <w:lastRenderedPageBreak/>
        <w:t>תזכיר חוק התוכנית הכלכלית לשנת הכספים 201</w:t>
      </w:r>
      <w:r w:rsidRPr="002A24F7">
        <w:rPr>
          <w:rFonts w:ascii="David" w:hAnsi="David" w:hint="cs"/>
          <w:sz w:val="26"/>
          <w:rtl/>
        </w:rPr>
        <w:t>9</w:t>
      </w:r>
      <w:r w:rsidRPr="002A24F7">
        <w:rPr>
          <w:rFonts w:ascii="David" w:hAnsi="David"/>
          <w:sz w:val="26"/>
          <w:rtl/>
        </w:rPr>
        <w:t xml:space="preserve"> (תיקוני חקיקה), התשע"ח-2018 פרק __': </w:t>
      </w:r>
      <w:r>
        <w:rPr>
          <w:rFonts w:ascii="David" w:hAnsi="David" w:hint="cs"/>
          <w:sz w:val="26"/>
          <w:rtl/>
        </w:rPr>
        <w:t>תכנון ובניה</w:t>
      </w:r>
    </w:p>
    <w:p w:rsidR="005D51AE" w:rsidRDefault="005D51AE" w:rsidP="00A45D6D">
      <w:pPr>
        <w:pStyle w:val="HeadHatzaotHok"/>
        <w:keepNext w:val="0"/>
        <w:keepLines w:val="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D50C9F">
        <w:trPr>
          <w:cantSplit/>
          <w:trHeight w:val="60"/>
        </w:trPr>
        <w:tc>
          <w:tcPr>
            <w:tcW w:w="1871" w:type="dxa"/>
          </w:tcPr>
          <w:p w:rsidR="00D50C9F" w:rsidRPr="00334F11" w:rsidRDefault="00D50C9F" w:rsidP="009F32FE">
            <w:pPr>
              <w:pStyle w:val="TableSideHeading"/>
            </w:pPr>
            <w:r w:rsidRPr="00334F11">
              <w:rPr>
                <w:rFonts w:hint="cs"/>
                <w:rtl/>
              </w:rPr>
              <w:t>תיקון חוק התכנון והבני</w:t>
            </w:r>
            <w:r w:rsidR="004A6C4D" w:rsidRPr="00334F11">
              <w:rPr>
                <w:rFonts w:hint="cs"/>
                <w:rtl/>
              </w:rPr>
              <w:t>י</w:t>
            </w:r>
            <w:r w:rsidRPr="00334F11">
              <w:rPr>
                <w:rFonts w:hint="cs"/>
                <w:rtl/>
              </w:rPr>
              <w:t>ה</w:t>
            </w:r>
          </w:p>
        </w:tc>
        <w:tc>
          <w:tcPr>
            <w:tcW w:w="624" w:type="dxa"/>
          </w:tcPr>
          <w:p w:rsidR="00D50C9F" w:rsidRPr="00334F11" w:rsidRDefault="00D50C9F" w:rsidP="00D50C9F">
            <w:pPr>
              <w:pStyle w:val="TableText"/>
              <w:numPr>
                <w:ilvl w:val="0"/>
                <w:numId w:val="1"/>
              </w:numPr>
            </w:pPr>
          </w:p>
        </w:tc>
        <w:tc>
          <w:tcPr>
            <w:tcW w:w="7146" w:type="dxa"/>
            <w:gridSpan w:val="6"/>
          </w:tcPr>
          <w:p w:rsidR="00D50C9F" w:rsidRPr="00334F11" w:rsidRDefault="00D50C9F" w:rsidP="001A0D34">
            <w:pPr>
              <w:pStyle w:val="TableBlock"/>
              <w:rPr>
                <w:rtl/>
              </w:rPr>
            </w:pPr>
            <w:r w:rsidRPr="00334F11">
              <w:rPr>
                <w:rFonts w:hint="cs"/>
                <w:rtl/>
              </w:rPr>
              <w:t xml:space="preserve">בחוק התכנון והבניה, התשכ"ה- 1965 (בפרק זה </w:t>
            </w:r>
            <w:r w:rsidR="001A0D34" w:rsidRPr="00334F11">
              <w:rPr>
                <w:rFonts w:hint="eastAsia"/>
                <w:rtl/>
              </w:rPr>
              <w:t>–</w:t>
            </w:r>
            <w:r w:rsidRPr="00334F11">
              <w:rPr>
                <w:rFonts w:hint="cs"/>
                <w:rtl/>
              </w:rPr>
              <w:t xml:space="preserve"> חוק התכנון והבניה)</w:t>
            </w:r>
            <w:r w:rsidR="009355EE" w:rsidRPr="00334F11">
              <w:rPr>
                <w:rFonts w:hint="cs"/>
                <w:rtl/>
              </w:rPr>
              <w:t xml:space="preserve"> - </w:t>
            </w:r>
            <w:r w:rsidRPr="00334F11">
              <w:rPr>
                <w:rFonts w:hint="cs"/>
                <w:rtl/>
              </w:rPr>
              <w:t xml:space="preserve"> </w:t>
            </w:r>
          </w:p>
        </w:tc>
      </w:tr>
      <w:tr w:rsidR="009355EE">
        <w:trPr>
          <w:cantSplit/>
          <w:trHeight w:val="60"/>
        </w:trPr>
        <w:tc>
          <w:tcPr>
            <w:tcW w:w="1871" w:type="dxa"/>
          </w:tcPr>
          <w:p w:rsidR="009355EE" w:rsidRPr="00334F11" w:rsidRDefault="009355EE">
            <w:pPr>
              <w:pStyle w:val="TableSideHeading"/>
            </w:pPr>
          </w:p>
        </w:tc>
        <w:tc>
          <w:tcPr>
            <w:tcW w:w="624" w:type="dxa"/>
          </w:tcPr>
          <w:p w:rsidR="009355EE" w:rsidRPr="00334F11" w:rsidRDefault="009355EE">
            <w:pPr>
              <w:pStyle w:val="TableText"/>
            </w:pPr>
          </w:p>
        </w:tc>
        <w:tc>
          <w:tcPr>
            <w:tcW w:w="624" w:type="dxa"/>
          </w:tcPr>
          <w:p w:rsidR="009355EE" w:rsidRPr="00334F11" w:rsidRDefault="009355EE" w:rsidP="002A4653">
            <w:pPr>
              <w:pStyle w:val="TableText"/>
              <w:ind w:right="0"/>
              <w:jc w:val="both"/>
            </w:pPr>
            <w:r w:rsidRPr="00334F11">
              <w:rPr>
                <w:rFonts w:hint="cs"/>
                <w:rtl/>
              </w:rPr>
              <w:t>(1)</w:t>
            </w:r>
          </w:p>
        </w:tc>
        <w:tc>
          <w:tcPr>
            <w:tcW w:w="6522" w:type="dxa"/>
            <w:gridSpan w:val="5"/>
          </w:tcPr>
          <w:p w:rsidR="009355EE" w:rsidRPr="00334F11" w:rsidRDefault="009355EE" w:rsidP="00334F11">
            <w:pPr>
              <w:pStyle w:val="TableBlock"/>
            </w:pPr>
            <w:r w:rsidRPr="00334F11">
              <w:rPr>
                <w:rFonts w:hint="cs"/>
                <w:rtl/>
              </w:rPr>
              <w:t>בסעיף 6ב</w:t>
            </w:r>
            <w:r w:rsidR="00024458" w:rsidRPr="00334F11">
              <w:rPr>
                <w:rFonts w:hint="cs"/>
                <w:rtl/>
              </w:rPr>
              <w:t xml:space="preserve">(ב) - </w:t>
            </w:r>
          </w:p>
        </w:tc>
      </w:tr>
      <w:tr w:rsidR="00024458">
        <w:trPr>
          <w:cantSplit/>
          <w:trHeight w:val="60"/>
        </w:trPr>
        <w:tc>
          <w:tcPr>
            <w:tcW w:w="1871" w:type="dxa"/>
          </w:tcPr>
          <w:p w:rsidR="00024458" w:rsidRPr="00334F11" w:rsidRDefault="00024458">
            <w:pPr>
              <w:pStyle w:val="TableSideHeading"/>
            </w:pPr>
          </w:p>
        </w:tc>
        <w:tc>
          <w:tcPr>
            <w:tcW w:w="624" w:type="dxa"/>
          </w:tcPr>
          <w:p w:rsidR="00024458" w:rsidRPr="00334F11" w:rsidRDefault="00024458" w:rsidP="00024458">
            <w:pPr>
              <w:pStyle w:val="TableText"/>
            </w:pPr>
          </w:p>
        </w:tc>
        <w:tc>
          <w:tcPr>
            <w:tcW w:w="624" w:type="dxa"/>
          </w:tcPr>
          <w:p w:rsidR="00024458" w:rsidRPr="00334F11" w:rsidRDefault="00024458" w:rsidP="002A4653">
            <w:pPr>
              <w:pStyle w:val="TableText"/>
              <w:ind w:right="0"/>
              <w:jc w:val="both"/>
              <w:rPr>
                <w:rtl/>
              </w:rPr>
            </w:pPr>
          </w:p>
        </w:tc>
        <w:tc>
          <w:tcPr>
            <w:tcW w:w="6522" w:type="dxa"/>
            <w:gridSpan w:val="5"/>
          </w:tcPr>
          <w:p w:rsidR="00024458" w:rsidRPr="00334F11" w:rsidRDefault="00A6641C" w:rsidP="00334F11">
            <w:pPr>
              <w:pStyle w:val="TableBlock"/>
              <w:numPr>
                <w:ilvl w:val="0"/>
                <w:numId w:val="9"/>
              </w:numPr>
              <w:rPr>
                <w:rtl/>
              </w:rPr>
            </w:pPr>
            <w:r>
              <w:rPr>
                <w:rFonts w:hint="cs"/>
                <w:rtl/>
              </w:rPr>
              <w:t xml:space="preserve">ברישה, אחרי </w:t>
            </w:r>
            <w:r w:rsidR="00024458" w:rsidRPr="00334F11">
              <w:rPr>
                <w:rFonts w:hint="cs"/>
                <w:rtl/>
              </w:rPr>
              <w:t xml:space="preserve">"(להלן- תכנית לתשתית לאומית)" יבוא "וכן לעניין מתן היתר על פי תכנית מתאר ארצית מפורטת לתשתיות </w:t>
            </w:r>
            <w:r w:rsidR="00B2007C" w:rsidRPr="00334F11">
              <w:rPr>
                <w:rFonts w:hint="cs"/>
                <w:rtl/>
              </w:rPr>
              <w:t xml:space="preserve">לאומיות </w:t>
            </w:r>
            <w:r w:rsidR="00024458" w:rsidRPr="00334F11">
              <w:rPr>
                <w:rFonts w:hint="cs"/>
                <w:rtl/>
              </w:rPr>
              <w:t xml:space="preserve">ומתן היתר לתשתיות </w:t>
            </w:r>
            <w:r w:rsidR="00B2007C" w:rsidRPr="00334F11">
              <w:rPr>
                <w:rFonts w:hint="cs"/>
                <w:rtl/>
              </w:rPr>
              <w:t xml:space="preserve">לאומיות </w:t>
            </w:r>
            <w:r w:rsidR="00024458" w:rsidRPr="00334F11">
              <w:rPr>
                <w:rFonts w:hint="cs"/>
                <w:rtl/>
              </w:rPr>
              <w:t>על פי תכנית מועדפת לדיור, כמשמעותה בחוק לקידום הבנייה במתחמים מועדפים לדיור (הוראת שעה), תשע"ד-2014</w:t>
            </w:r>
            <w:r w:rsidR="00C820F1" w:rsidRPr="00334F11">
              <w:rPr>
                <w:rFonts w:hint="cs"/>
                <w:rtl/>
              </w:rPr>
              <w:t>.</w:t>
            </w:r>
            <w:r w:rsidR="00024458" w:rsidRPr="00334F11">
              <w:rPr>
                <w:rFonts w:hint="cs"/>
                <w:rtl/>
              </w:rPr>
              <w:t>"</w:t>
            </w:r>
            <w:r>
              <w:rPr>
                <w:rFonts w:hint="cs"/>
                <w:rtl/>
              </w:rPr>
              <w:t>;</w:t>
            </w:r>
          </w:p>
        </w:tc>
      </w:tr>
      <w:tr w:rsidR="00C820F1">
        <w:trPr>
          <w:cantSplit/>
          <w:trHeight w:val="60"/>
        </w:trPr>
        <w:tc>
          <w:tcPr>
            <w:tcW w:w="1871" w:type="dxa"/>
          </w:tcPr>
          <w:p w:rsidR="00C820F1" w:rsidRPr="00334F11" w:rsidRDefault="00C820F1">
            <w:pPr>
              <w:pStyle w:val="TableSideHeading"/>
            </w:pPr>
          </w:p>
        </w:tc>
        <w:tc>
          <w:tcPr>
            <w:tcW w:w="624" w:type="dxa"/>
          </w:tcPr>
          <w:p w:rsidR="00C820F1" w:rsidRPr="00334F11" w:rsidRDefault="00C820F1" w:rsidP="00C820F1">
            <w:pPr>
              <w:pStyle w:val="TableText"/>
            </w:pPr>
          </w:p>
        </w:tc>
        <w:tc>
          <w:tcPr>
            <w:tcW w:w="624" w:type="dxa"/>
          </w:tcPr>
          <w:p w:rsidR="00C820F1" w:rsidRPr="00334F11" w:rsidRDefault="00C820F1" w:rsidP="002A4653">
            <w:pPr>
              <w:pStyle w:val="TableText"/>
              <w:ind w:right="0"/>
              <w:jc w:val="both"/>
              <w:rPr>
                <w:rtl/>
              </w:rPr>
            </w:pPr>
          </w:p>
        </w:tc>
        <w:tc>
          <w:tcPr>
            <w:tcW w:w="6522" w:type="dxa"/>
            <w:gridSpan w:val="5"/>
          </w:tcPr>
          <w:p w:rsidR="00C820F1" w:rsidRPr="00334F11" w:rsidRDefault="00C820F1" w:rsidP="00C820F1">
            <w:pPr>
              <w:pStyle w:val="TableBlock"/>
              <w:numPr>
                <w:ilvl w:val="0"/>
                <w:numId w:val="9"/>
              </w:numPr>
              <w:rPr>
                <w:rtl/>
              </w:rPr>
            </w:pPr>
            <w:r w:rsidRPr="00334F11">
              <w:rPr>
                <w:rFonts w:hint="cs"/>
                <w:rtl/>
              </w:rPr>
              <w:t xml:space="preserve">בסופו יבוא "בפסקה זו, </w:t>
            </w:r>
            <w:r w:rsidRPr="00334F11">
              <w:rPr>
                <w:rtl/>
              </w:rPr>
              <w:t>"תכנית מיתאר ארצית מפורטת</w:t>
            </w:r>
            <w:r w:rsidRPr="00334F11">
              <w:rPr>
                <w:rFonts w:hint="cs"/>
                <w:rtl/>
              </w:rPr>
              <w:t xml:space="preserve"> לתשתיות" - </w:t>
            </w:r>
            <w:r w:rsidRPr="00334F11">
              <w:rPr>
                <w:rtl/>
              </w:rPr>
              <w:t>תכנית</w:t>
            </w:r>
            <w:r w:rsidRPr="00334F11">
              <w:rPr>
                <w:rFonts w:hint="cs"/>
                <w:rtl/>
              </w:rPr>
              <w:t xml:space="preserve"> </w:t>
            </w:r>
            <w:r w:rsidRPr="00334F11">
              <w:rPr>
                <w:rtl/>
              </w:rPr>
              <w:t>מיתאר ארצית הכוללת הוראות המאפשרות מתן היתר בנייה או ביצוע עבודות לפיה</w:t>
            </w:r>
            <w:r w:rsidRPr="00334F11">
              <w:rPr>
                <w:rFonts w:hint="cs"/>
                <w:rtl/>
              </w:rPr>
              <w:t xml:space="preserve"> להקמת תשתית לאומית</w:t>
            </w:r>
            <w:r w:rsidRPr="00334F11">
              <w:rPr>
                <w:rtl/>
              </w:rPr>
              <w:t xml:space="preserve">, בלא צורך באישור תכנית נוספת טרם מתן ההיתר או ביצוע העבודה; לענין זה לא יראו בתכנית מיתאר ארצית </w:t>
            </w:r>
            <w:r w:rsidRPr="00334F11">
              <w:rPr>
                <w:rFonts w:hint="cs"/>
                <w:rtl/>
              </w:rPr>
              <w:t>שאינה כוללת תשריט</w:t>
            </w:r>
            <w:r w:rsidRPr="00334F11">
              <w:rPr>
                <w:rtl/>
              </w:rPr>
              <w:t>, כתכנית הכוללת הוראות כאמור</w:t>
            </w:r>
            <w:r w:rsidR="00A6641C">
              <w:rPr>
                <w:rFonts w:hint="cs"/>
                <w:rtl/>
              </w:rPr>
              <w:t>"</w:t>
            </w:r>
            <w:r w:rsidRPr="00334F11">
              <w:rPr>
                <w:rFonts w:hint="cs"/>
                <w:rtl/>
              </w:rPr>
              <w:t>;</w:t>
            </w:r>
          </w:p>
        </w:tc>
      </w:tr>
      <w:tr w:rsidR="009355EE">
        <w:trPr>
          <w:cantSplit/>
          <w:trHeight w:val="60"/>
        </w:trPr>
        <w:tc>
          <w:tcPr>
            <w:tcW w:w="1871" w:type="dxa"/>
          </w:tcPr>
          <w:p w:rsidR="009355EE" w:rsidRDefault="009355EE">
            <w:pPr>
              <w:pStyle w:val="TableSideHeading"/>
            </w:pPr>
          </w:p>
        </w:tc>
        <w:tc>
          <w:tcPr>
            <w:tcW w:w="624" w:type="dxa"/>
          </w:tcPr>
          <w:p w:rsidR="009355EE" w:rsidRDefault="009355EE" w:rsidP="009355EE">
            <w:pPr>
              <w:pStyle w:val="TableText"/>
            </w:pPr>
          </w:p>
        </w:tc>
        <w:tc>
          <w:tcPr>
            <w:tcW w:w="624" w:type="dxa"/>
          </w:tcPr>
          <w:p w:rsidR="009355EE" w:rsidRDefault="009355EE">
            <w:pPr>
              <w:pStyle w:val="TableText"/>
              <w:rPr>
                <w:rtl/>
              </w:rPr>
            </w:pPr>
            <w:r>
              <w:rPr>
                <w:rFonts w:hint="cs"/>
                <w:rtl/>
              </w:rPr>
              <w:t>(2)</w:t>
            </w:r>
          </w:p>
        </w:tc>
        <w:tc>
          <w:tcPr>
            <w:tcW w:w="6522" w:type="dxa"/>
            <w:gridSpan w:val="5"/>
          </w:tcPr>
          <w:p w:rsidR="009355EE" w:rsidRDefault="00A6641C" w:rsidP="001A0D34">
            <w:pPr>
              <w:pStyle w:val="TableBlock"/>
              <w:rPr>
                <w:rtl/>
              </w:rPr>
            </w:pPr>
            <w:r>
              <w:rPr>
                <w:rFonts w:hint="cs"/>
                <w:rtl/>
              </w:rPr>
              <w:t xml:space="preserve">בסעיף 44(ב), אחרי </w:t>
            </w:r>
            <w:r w:rsidR="009355EE">
              <w:rPr>
                <w:rFonts w:hint="cs"/>
                <w:rtl/>
              </w:rPr>
              <w:t>"שבעה ימים לפחות לפני מועד הישיבה" יבוא "</w:t>
            </w:r>
            <w:r w:rsidR="009355EE" w:rsidRPr="00C51E70">
              <w:rPr>
                <w:rFonts w:hint="cs"/>
                <w:rtl/>
              </w:rPr>
              <w:t>ולגבי רשות רישוי, שני ימים לפחות לפני מועד הישיבה,"</w:t>
            </w:r>
            <w:r>
              <w:rPr>
                <w:rFonts w:hint="cs"/>
                <w:rtl/>
              </w:rPr>
              <w:t>;</w:t>
            </w:r>
          </w:p>
        </w:tc>
      </w:tr>
      <w:tr w:rsidR="009355EE">
        <w:trPr>
          <w:cantSplit/>
          <w:trHeight w:val="60"/>
        </w:trPr>
        <w:tc>
          <w:tcPr>
            <w:tcW w:w="1871" w:type="dxa"/>
          </w:tcPr>
          <w:p w:rsidR="009355EE" w:rsidRDefault="009355EE">
            <w:pPr>
              <w:pStyle w:val="TableSideHeading"/>
            </w:pPr>
          </w:p>
        </w:tc>
        <w:tc>
          <w:tcPr>
            <w:tcW w:w="624" w:type="dxa"/>
          </w:tcPr>
          <w:p w:rsidR="009355EE" w:rsidRDefault="009355EE" w:rsidP="009355EE">
            <w:pPr>
              <w:pStyle w:val="TableText"/>
            </w:pPr>
          </w:p>
        </w:tc>
        <w:tc>
          <w:tcPr>
            <w:tcW w:w="624" w:type="dxa"/>
          </w:tcPr>
          <w:p w:rsidR="009355EE" w:rsidRDefault="009355EE">
            <w:pPr>
              <w:pStyle w:val="TableText"/>
              <w:rPr>
                <w:rtl/>
              </w:rPr>
            </w:pPr>
            <w:r>
              <w:rPr>
                <w:rFonts w:hint="cs"/>
                <w:rtl/>
              </w:rPr>
              <w:t>(3)</w:t>
            </w:r>
          </w:p>
        </w:tc>
        <w:tc>
          <w:tcPr>
            <w:tcW w:w="6522" w:type="dxa"/>
            <w:gridSpan w:val="5"/>
          </w:tcPr>
          <w:p w:rsidR="009355EE" w:rsidRDefault="009355EE" w:rsidP="00460983">
            <w:pPr>
              <w:pStyle w:val="TableBlock"/>
              <w:rPr>
                <w:rtl/>
              </w:rPr>
            </w:pPr>
            <w:r>
              <w:rPr>
                <w:rFonts w:hint="cs"/>
                <w:rtl/>
              </w:rPr>
              <w:t xml:space="preserve">בסעיף 62א(א1) </w:t>
            </w:r>
            <w:r w:rsidR="00460983">
              <w:rPr>
                <w:rFonts w:hint="eastAsia"/>
                <w:rtl/>
              </w:rPr>
              <w:t>–</w:t>
            </w:r>
          </w:p>
        </w:tc>
      </w:tr>
      <w:tr w:rsidR="009355EE">
        <w:trPr>
          <w:cantSplit/>
          <w:trHeight w:val="60"/>
        </w:trPr>
        <w:tc>
          <w:tcPr>
            <w:tcW w:w="1871" w:type="dxa"/>
          </w:tcPr>
          <w:p w:rsidR="009355EE" w:rsidRDefault="009355EE">
            <w:pPr>
              <w:pStyle w:val="TableSideHeading"/>
            </w:pPr>
          </w:p>
        </w:tc>
        <w:tc>
          <w:tcPr>
            <w:tcW w:w="624" w:type="dxa"/>
          </w:tcPr>
          <w:p w:rsidR="009355EE" w:rsidRDefault="009355EE">
            <w:pPr>
              <w:pStyle w:val="TableText"/>
            </w:pPr>
          </w:p>
        </w:tc>
        <w:tc>
          <w:tcPr>
            <w:tcW w:w="624" w:type="dxa"/>
          </w:tcPr>
          <w:p w:rsidR="009355EE" w:rsidRDefault="009355EE">
            <w:pPr>
              <w:pStyle w:val="TableText"/>
            </w:pPr>
          </w:p>
        </w:tc>
        <w:tc>
          <w:tcPr>
            <w:tcW w:w="624" w:type="dxa"/>
          </w:tcPr>
          <w:p w:rsidR="009355EE" w:rsidRDefault="009355EE">
            <w:pPr>
              <w:pStyle w:val="TableText"/>
            </w:pPr>
          </w:p>
        </w:tc>
        <w:tc>
          <w:tcPr>
            <w:tcW w:w="5898" w:type="dxa"/>
            <w:gridSpan w:val="4"/>
          </w:tcPr>
          <w:p w:rsidR="009355EE" w:rsidRDefault="009355EE" w:rsidP="00334F11">
            <w:pPr>
              <w:pStyle w:val="TableBlock"/>
              <w:numPr>
                <w:ilvl w:val="0"/>
                <w:numId w:val="10"/>
              </w:numPr>
              <w:tabs>
                <w:tab w:val="left" w:pos="624"/>
              </w:tabs>
            </w:pPr>
            <w:r>
              <w:rPr>
                <w:rFonts w:hint="cs"/>
                <w:rtl/>
              </w:rPr>
              <w:t xml:space="preserve">בפסקה (10), </w:t>
            </w:r>
            <w:r w:rsidR="00334F11">
              <w:rPr>
                <w:rFonts w:hint="cs"/>
                <w:rtl/>
              </w:rPr>
              <w:t>ה</w:t>
            </w:r>
            <w:r w:rsidR="006054D9">
              <w:rPr>
                <w:rFonts w:hint="cs"/>
                <w:rtl/>
              </w:rPr>
              <w:t>סיפה, החל ב</w:t>
            </w:r>
            <w:r>
              <w:rPr>
                <w:rFonts w:hint="cs"/>
                <w:rtl/>
              </w:rPr>
              <w:t>מילים "</w:t>
            </w:r>
            <w:r w:rsidR="006054D9">
              <w:rPr>
                <w:rFonts w:hint="cs"/>
                <w:rtl/>
              </w:rPr>
              <w:t>בתחום רשות עירונית</w:t>
            </w:r>
            <w:r>
              <w:rPr>
                <w:rFonts w:hint="cs"/>
                <w:rtl/>
              </w:rPr>
              <w:t xml:space="preserve">" </w:t>
            </w:r>
            <w:r w:rsidR="00A6641C">
              <w:rPr>
                <w:rFonts w:hint="cs"/>
                <w:rtl/>
              </w:rPr>
              <w:t>ת</w:t>
            </w:r>
            <w:r w:rsidR="00A3000E">
              <w:rPr>
                <w:rFonts w:hint="cs"/>
                <w:rtl/>
              </w:rPr>
              <w:t>סומן "(</w:t>
            </w:r>
            <w:r w:rsidR="00F1195B">
              <w:rPr>
                <w:rFonts w:hint="cs"/>
                <w:rtl/>
              </w:rPr>
              <w:t>א</w:t>
            </w:r>
            <w:r w:rsidR="00A3000E">
              <w:rPr>
                <w:rFonts w:hint="cs"/>
                <w:rtl/>
              </w:rPr>
              <w:t>)</w:t>
            </w:r>
            <w:r w:rsidR="00460983">
              <w:rPr>
                <w:rFonts w:hint="cs"/>
                <w:rtl/>
              </w:rPr>
              <w:t xml:space="preserve">" </w:t>
            </w:r>
            <w:r w:rsidR="00A6641C">
              <w:rPr>
                <w:rFonts w:hint="cs"/>
                <w:rtl/>
              </w:rPr>
              <w:t>ואחריה</w:t>
            </w:r>
            <w:r w:rsidR="00F1195B">
              <w:rPr>
                <w:rFonts w:hint="cs"/>
                <w:rtl/>
              </w:rPr>
              <w:t xml:space="preserve"> </w:t>
            </w:r>
            <w:r>
              <w:rPr>
                <w:rFonts w:hint="cs"/>
                <w:rtl/>
              </w:rPr>
              <w:t>יבוא:</w:t>
            </w:r>
          </w:p>
        </w:tc>
      </w:tr>
      <w:tr w:rsidR="00334F11" w:rsidTr="000D0381">
        <w:trPr>
          <w:cantSplit/>
          <w:trHeight w:val="60"/>
        </w:trPr>
        <w:tc>
          <w:tcPr>
            <w:tcW w:w="1871" w:type="dxa"/>
          </w:tcPr>
          <w:p w:rsidR="00334F11" w:rsidRDefault="00334F11">
            <w:pPr>
              <w:pStyle w:val="TableSideHeading"/>
            </w:pPr>
          </w:p>
        </w:tc>
        <w:tc>
          <w:tcPr>
            <w:tcW w:w="624" w:type="dxa"/>
          </w:tcPr>
          <w:p w:rsidR="00334F11" w:rsidRDefault="00334F11">
            <w:pPr>
              <w:pStyle w:val="TableText"/>
            </w:pPr>
          </w:p>
        </w:tc>
        <w:tc>
          <w:tcPr>
            <w:tcW w:w="624" w:type="dxa"/>
          </w:tcPr>
          <w:p w:rsidR="00334F11" w:rsidRDefault="00334F11">
            <w:pPr>
              <w:pStyle w:val="TableText"/>
            </w:pPr>
          </w:p>
        </w:tc>
        <w:tc>
          <w:tcPr>
            <w:tcW w:w="624" w:type="dxa"/>
          </w:tcPr>
          <w:p w:rsidR="00334F11" w:rsidRDefault="00334F11">
            <w:pPr>
              <w:pStyle w:val="TableText"/>
            </w:pPr>
          </w:p>
        </w:tc>
        <w:tc>
          <w:tcPr>
            <w:tcW w:w="5898" w:type="dxa"/>
            <w:gridSpan w:val="4"/>
          </w:tcPr>
          <w:p w:rsidR="00334F11" w:rsidRDefault="00334F11" w:rsidP="001A0D34">
            <w:pPr>
              <w:pStyle w:val="TableBlock"/>
            </w:pPr>
            <w:r>
              <w:rPr>
                <w:rFonts w:hint="cs"/>
                <w:rtl/>
              </w:rPr>
              <w:t>"(ב) למעונות יום ופעוטונים, למעט במתחם המיועד לתעשייה;"</w:t>
            </w:r>
            <w:r w:rsidR="00A6641C">
              <w:rPr>
                <w:rFonts w:hint="cs"/>
                <w:rtl/>
              </w:rPr>
              <w:t>;</w:t>
            </w:r>
          </w:p>
        </w:tc>
      </w:tr>
      <w:tr w:rsidR="00302139">
        <w:trPr>
          <w:cantSplit/>
          <w:trHeight w:val="60"/>
        </w:trPr>
        <w:tc>
          <w:tcPr>
            <w:tcW w:w="1871" w:type="dxa"/>
          </w:tcPr>
          <w:p w:rsidR="00302139" w:rsidRDefault="00302139">
            <w:pPr>
              <w:pStyle w:val="TableSideHeading"/>
            </w:pPr>
          </w:p>
        </w:tc>
        <w:tc>
          <w:tcPr>
            <w:tcW w:w="624" w:type="dxa"/>
          </w:tcPr>
          <w:p w:rsidR="00302139" w:rsidRDefault="00302139">
            <w:pPr>
              <w:pStyle w:val="TableText"/>
            </w:pPr>
          </w:p>
        </w:tc>
        <w:tc>
          <w:tcPr>
            <w:tcW w:w="624" w:type="dxa"/>
          </w:tcPr>
          <w:p w:rsidR="00302139" w:rsidRDefault="00302139">
            <w:pPr>
              <w:pStyle w:val="TableText"/>
            </w:pPr>
          </w:p>
        </w:tc>
        <w:tc>
          <w:tcPr>
            <w:tcW w:w="624" w:type="dxa"/>
          </w:tcPr>
          <w:p w:rsidR="00302139" w:rsidRDefault="00302139">
            <w:pPr>
              <w:pStyle w:val="TableText"/>
            </w:pPr>
          </w:p>
        </w:tc>
        <w:tc>
          <w:tcPr>
            <w:tcW w:w="5898" w:type="dxa"/>
            <w:gridSpan w:val="4"/>
          </w:tcPr>
          <w:p w:rsidR="00302139" w:rsidRDefault="00642B34" w:rsidP="00334F11">
            <w:pPr>
              <w:pStyle w:val="TableBlock"/>
              <w:numPr>
                <w:ilvl w:val="0"/>
                <w:numId w:val="10"/>
              </w:numPr>
              <w:tabs>
                <w:tab w:val="left" w:pos="624"/>
              </w:tabs>
            </w:pPr>
            <w:r>
              <w:rPr>
                <w:rFonts w:hint="cs"/>
                <w:rtl/>
              </w:rPr>
              <w:t>אחרי פסקה (12) יבוא:</w:t>
            </w:r>
          </w:p>
        </w:tc>
      </w:tr>
      <w:tr w:rsidR="00642B34">
        <w:trPr>
          <w:cantSplit/>
          <w:trHeight w:val="60"/>
        </w:trPr>
        <w:tc>
          <w:tcPr>
            <w:tcW w:w="1871" w:type="dxa"/>
          </w:tcPr>
          <w:p w:rsidR="00642B34" w:rsidRDefault="00642B34">
            <w:pPr>
              <w:pStyle w:val="TableSideHeading"/>
            </w:pPr>
          </w:p>
        </w:tc>
        <w:tc>
          <w:tcPr>
            <w:tcW w:w="624" w:type="dxa"/>
          </w:tcPr>
          <w:p w:rsidR="00642B34" w:rsidRDefault="00642B34">
            <w:pPr>
              <w:pStyle w:val="TableText"/>
            </w:pPr>
          </w:p>
        </w:tc>
        <w:tc>
          <w:tcPr>
            <w:tcW w:w="624" w:type="dxa"/>
          </w:tcPr>
          <w:p w:rsidR="00642B34" w:rsidRDefault="00642B34">
            <w:pPr>
              <w:pStyle w:val="TableText"/>
            </w:pPr>
          </w:p>
        </w:tc>
        <w:tc>
          <w:tcPr>
            <w:tcW w:w="624" w:type="dxa"/>
          </w:tcPr>
          <w:p w:rsidR="00642B34" w:rsidRDefault="00642B34">
            <w:pPr>
              <w:pStyle w:val="TableText"/>
            </w:pPr>
          </w:p>
        </w:tc>
        <w:tc>
          <w:tcPr>
            <w:tcW w:w="624" w:type="dxa"/>
          </w:tcPr>
          <w:p w:rsidR="00642B34" w:rsidRDefault="000B7B87">
            <w:pPr>
              <w:pStyle w:val="TableText"/>
            </w:pPr>
            <w:r>
              <w:rPr>
                <w:rFonts w:hint="cs"/>
                <w:rtl/>
              </w:rPr>
              <w:t>"</w:t>
            </w:r>
            <w:r w:rsidR="00642B34">
              <w:rPr>
                <w:rFonts w:hint="cs"/>
                <w:rtl/>
              </w:rPr>
              <w:t>(13)</w:t>
            </w:r>
          </w:p>
        </w:tc>
        <w:tc>
          <w:tcPr>
            <w:tcW w:w="5274" w:type="dxa"/>
            <w:gridSpan w:val="3"/>
          </w:tcPr>
          <w:p w:rsidR="00642B34" w:rsidRDefault="00642B34">
            <w:pPr>
              <w:pStyle w:val="TableBlock"/>
            </w:pPr>
            <w:r w:rsidRPr="006339A6">
              <w:rPr>
                <w:rFonts w:hint="cs"/>
                <w:rtl/>
              </w:rPr>
              <w:t>הוספת שימוש למעונות יום ופעוטונים במגרשים המיועדים למגור</w:t>
            </w:r>
            <w:r w:rsidR="00A6641C">
              <w:rPr>
                <w:rFonts w:hint="cs"/>
                <w:rtl/>
              </w:rPr>
              <w:t>ים לפי תכנית שאישרה ועדה מחוזית;</w:t>
            </w:r>
          </w:p>
        </w:tc>
      </w:tr>
      <w:tr w:rsidR="00642B34">
        <w:trPr>
          <w:cantSplit/>
          <w:trHeight w:val="60"/>
        </w:trPr>
        <w:tc>
          <w:tcPr>
            <w:tcW w:w="1871" w:type="dxa"/>
          </w:tcPr>
          <w:p w:rsidR="00642B34" w:rsidRDefault="00642B34">
            <w:pPr>
              <w:pStyle w:val="TableSideHeading"/>
            </w:pPr>
          </w:p>
        </w:tc>
        <w:tc>
          <w:tcPr>
            <w:tcW w:w="624" w:type="dxa"/>
          </w:tcPr>
          <w:p w:rsidR="00642B34" w:rsidRDefault="00642B34" w:rsidP="00642B34">
            <w:pPr>
              <w:pStyle w:val="TableText"/>
            </w:pPr>
          </w:p>
        </w:tc>
        <w:tc>
          <w:tcPr>
            <w:tcW w:w="624" w:type="dxa"/>
          </w:tcPr>
          <w:p w:rsidR="00642B34" w:rsidRDefault="00642B34">
            <w:pPr>
              <w:pStyle w:val="TableText"/>
            </w:pPr>
          </w:p>
        </w:tc>
        <w:tc>
          <w:tcPr>
            <w:tcW w:w="624" w:type="dxa"/>
          </w:tcPr>
          <w:p w:rsidR="00642B34" w:rsidRDefault="00642B34">
            <w:pPr>
              <w:pStyle w:val="TableText"/>
            </w:pPr>
          </w:p>
        </w:tc>
        <w:tc>
          <w:tcPr>
            <w:tcW w:w="624" w:type="dxa"/>
          </w:tcPr>
          <w:p w:rsidR="00642B34" w:rsidRDefault="00642B34">
            <w:pPr>
              <w:pStyle w:val="TableText"/>
              <w:rPr>
                <w:rtl/>
              </w:rPr>
            </w:pPr>
            <w:r>
              <w:rPr>
                <w:rFonts w:hint="cs"/>
                <w:rtl/>
              </w:rPr>
              <w:t>(14)</w:t>
            </w:r>
          </w:p>
        </w:tc>
        <w:tc>
          <w:tcPr>
            <w:tcW w:w="5274" w:type="dxa"/>
            <w:gridSpan w:val="3"/>
          </w:tcPr>
          <w:p w:rsidR="00642B34" w:rsidRPr="006339A6" w:rsidRDefault="00642B34" w:rsidP="00334F11">
            <w:pPr>
              <w:pStyle w:val="TableBlock"/>
              <w:rPr>
                <w:rtl/>
              </w:rPr>
            </w:pPr>
            <w:r w:rsidRPr="006339A6">
              <w:rPr>
                <w:rFonts w:hint="cs"/>
                <w:rtl/>
              </w:rPr>
              <w:t>שינוי הייעוד של קרקע המיועדת לתעסוקה לפי תכנית שאישרה הוועדה המחוזית בתחום רשות עירונית</w:t>
            </w:r>
            <w:r w:rsidR="00EB79A2">
              <w:rPr>
                <w:rFonts w:hint="cs"/>
                <w:rtl/>
              </w:rPr>
              <w:t xml:space="preserve"> ל</w:t>
            </w:r>
            <w:r w:rsidR="00B2007C">
              <w:rPr>
                <w:rFonts w:hint="cs"/>
                <w:rtl/>
              </w:rPr>
              <w:t>צורכי</w:t>
            </w:r>
            <w:r w:rsidR="00EB79A2">
              <w:rPr>
                <w:rFonts w:hint="cs"/>
                <w:rtl/>
              </w:rPr>
              <w:t xml:space="preserve"> ציבור</w:t>
            </w:r>
            <w:r w:rsidR="00334F11">
              <w:rPr>
                <w:rFonts w:hint="cs"/>
                <w:rtl/>
              </w:rPr>
              <w:t>;</w:t>
            </w:r>
            <w:r w:rsidR="001A3600">
              <w:rPr>
                <w:rFonts w:hint="cs"/>
                <w:rtl/>
              </w:rPr>
              <w:t xml:space="preserve"> </w:t>
            </w:r>
            <w:r w:rsidR="001A3600" w:rsidRPr="006054D9">
              <w:rPr>
                <w:rFonts w:hint="cs"/>
                <w:rtl/>
              </w:rPr>
              <w:t>סך השטח שייעודו ש</w:t>
            </w:r>
            <w:r w:rsidR="00334F11">
              <w:rPr>
                <w:rFonts w:hint="cs"/>
                <w:rtl/>
              </w:rPr>
              <w:t>ו</w:t>
            </w:r>
            <w:r w:rsidR="001A3600" w:rsidRPr="006054D9">
              <w:rPr>
                <w:rFonts w:hint="cs"/>
                <w:rtl/>
              </w:rPr>
              <w:t xml:space="preserve">נה </w:t>
            </w:r>
            <w:r w:rsidR="00334F11">
              <w:rPr>
                <w:rFonts w:hint="cs"/>
                <w:rtl/>
              </w:rPr>
              <w:t xml:space="preserve">לצורכי ציבור </w:t>
            </w:r>
            <w:r w:rsidR="001A3600" w:rsidRPr="006054D9">
              <w:rPr>
                <w:rFonts w:hint="cs"/>
                <w:rtl/>
              </w:rPr>
              <w:t>לא יעלה על 20% מהשטח המיועד לתעסוקה בתכנית המקורית</w:t>
            </w:r>
            <w:r w:rsidR="000B7B87">
              <w:rPr>
                <w:rFonts w:hint="cs"/>
                <w:rtl/>
              </w:rPr>
              <w:t>;</w:t>
            </w:r>
          </w:p>
        </w:tc>
      </w:tr>
      <w:tr w:rsidR="00334F11">
        <w:trPr>
          <w:cantSplit/>
          <w:trHeight w:val="60"/>
        </w:trPr>
        <w:tc>
          <w:tcPr>
            <w:tcW w:w="1871" w:type="dxa"/>
          </w:tcPr>
          <w:p w:rsidR="00334F11" w:rsidRDefault="00334F11">
            <w:pPr>
              <w:pStyle w:val="TableSideHeading"/>
            </w:pPr>
          </w:p>
        </w:tc>
        <w:tc>
          <w:tcPr>
            <w:tcW w:w="624" w:type="dxa"/>
          </w:tcPr>
          <w:p w:rsidR="00334F11" w:rsidRDefault="00334F11" w:rsidP="00334F11">
            <w:pPr>
              <w:pStyle w:val="TableText"/>
            </w:pPr>
          </w:p>
        </w:tc>
        <w:tc>
          <w:tcPr>
            <w:tcW w:w="624" w:type="dxa"/>
          </w:tcPr>
          <w:p w:rsidR="00334F11" w:rsidRDefault="00334F11">
            <w:pPr>
              <w:pStyle w:val="TableText"/>
            </w:pPr>
          </w:p>
        </w:tc>
        <w:tc>
          <w:tcPr>
            <w:tcW w:w="624" w:type="dxa"/>
          </w:tcPr>
          <w:p w:rsidR="00334F11" w:rsidRDefault="00334F11">
            <w:pPr>
              <w:pStyle w:val="TableText"/>
            </w:pPr>
          </w:p>
        </w:tc>
        <w:tc>
          <w:tcPr>
            <w:tcW w:w="624" w:type="dxa"/>
          </w:tcPr>
          <w:p w:rsidR="00334F11" w:rsidRDefault="00334F11">
            <w:pPr>
              <w:pStyle w:val="TableText"/>
              <w:rPr>
                <w:rtl/>
              </w:rPr>
            </w:pPr>
            <w:r>
              <w:rPr>
                <w:rFonts w:hint="cs"/>
                <w:rtl/>
              </w:rPr>
              <w:t>(15)</w:t>
            </w:r>
          </w:p>
        </w:tc>
        <w:tc>
          <w:tcPr>
            <w:tcW w:w="5274" w:type="dxa"/>
            <w:gridSpan w:val="3"/>
          </w:tcPr>
          <w:p w:rsidR="00334F11" w:rsidRPr="006339A6" w:rsidRDefault="00334F11" w:rsidP="00334F11">
            <w:pPr>
              <w:pStyle w:val="TableBlock"/>
              <w:rPr>
                <w:rtl/>
              </w:rPr>
            </w:pPr>
            <w:r w:rsidRPr="006339A6">
              <w:rPr>
                <w:rFonts w:hint="cs"/>
                <w:rtl/>
              </w:rPr>
              <w:t>הוספת שימוש בקרקע</w:t>
            </w:r>
            <w:r>
              <w:rPr>
                <w:rFonts w:hint="cs"/>
                <w:rtl/>
              </w:rPr>
              <w:t xml:space="preserve"> </w:t>
            </w:r>
            <w:r w:rsidRPr="006339A6">
              <w:rPr>
                <w:rFonts w:hint="cs"/>
                <w:rtl/>
              </w:rPr>
              <w:t>המיועדת לתעסוקה לפי תכנית שאישרה הוועדה המחוזית בתחום רשות עירונית</w:t>
            </w:r>
            <w:r>
              <w:rPr>
                <w:rFonts w:hint="cs"/>
                <w:rtl/>
              </w:rPr>
              <w:t>, למעט בקרקע המיועדת לתעשייה,</w:t>
            </w:r>
            <w:r w:rsidRPr="006339A6">
              <w:rPr>
                <w:rFonts w:hint="cs"/>
                <w:rtl/>
              </w:rPr>
              <w:t xml:space="preserve"> לדיור מוגן כהגדרתו בחוק הדיור המוגן,</w:t>
            </w:r>
            <w:r>
              <w:rPr>
                <w:rFonts w:hint="cs"/>
                <w:rtl/>
              </w:rPr>
              <w:t xml:space="preserve"> התשע"ב-2012,</w:t>
            </w:r>
            <w:r w:rsidRPr="006339A6">
              <w:rPr>
                <w:rFonts w:hint="cs"/>
                <w:rtl/>
              </w:rPr>
              <w:t xml:space="preserve"> </w:t>
            </w:r>
            <w:r>
              <w:rPr>
                <w:rFonts w:hint="cs"/>
                <w:rtl/>
              </w:rPr>
              <w:t>ל</w:t>
            </w:r>
            <w:r w:rsidRPr="006339A6">
              <w:rPr>
                <w:rFonts w:hint="cs"/>
                <w:rtl/>
              </w:rPr>
              <w:t>דיור בהישג יד כמשמעותו בתוספת השישית</w:t>
            </w:r>
            <w:r>
              <w:rPr>
                <w:rFonts w:hint="cs"/>
                <w:rtl/>
              </w:rPr>
              <w:t>, ולמעונות סטודנטים, ובלבד ש</w:t>
            </w:r>
            <w:r w:rsidR="00A6641C">
              <w:rPr>
                <w:rFonts w:hint="cs"/>
                <w:rtl/>
              </w:rPr>
              <w:t>התקבל אישור המועצה להשכלה גבוהה</w:t>
            </w:r>
            <w:r>
              <w:rPr>
                <w:rFonts w:hint="cs"/>
                <w:rtl/>
              </w:rPr>
              <w:t>."</w:t>
            </w:r>
            <w:r w:rsidR="00A6641C">
              <w:rPr>
                <w:rFonts w:hint="cs"/>
                <w:rtl/>
              </w:rPr>
              <w:t>;</w:t>
            </w:r>
          </w:p>
        </w:tc>
      </w:tr>
      <w:tr w:rsidR="00796EA5">
        <w:trPr>
          <w:cantSplit/>
          <w:trHeight w:val="60"/>
        </w:trPr>
        <w:tc>
          <w:tcPr>
            <w:tcW w:w="1871" w:type="dxa"/>
          </w:tcPr>
          <w:p w:rsidR="00796EA5" w:rsidRDefault="00796EA5">
            <w:pPr>
              <w:pStyle w:val="TableSideHeading"/>
            </w:pPr>
          </w:p>
        </w:tc>
        <w:tc>
          <w:tcPr>
            <w:tcW w:w="624" w:type="dxa"/>
          </w:tcPr>
          <w:p w:rsidR="00796EA5" w:rsidRDefault="00796EA5">
            <w:pPr>
              <w:pStyle w:val="TableText"/>
            </w:pPr>
          </w:p>
        </w:tc>
        <w:tc>
          <w:tcPr>
            <w:tcW w:w="624" w:type="dxa"/>
          </w:tcPr>
          <w:p w:rsidR="00796EA5" w:rsidRDefault="00796EA5">
            <w:pPr>
              <w:pStyle w:val="TableText"/>
            </w:pPr>
            <w:r>
              <w:rPr>
                <w:rFonts w:hint="cs"/>
                <w:rtl/>
              </w:rPr>
              <w:t>(4)</w:t>
            </w:r>
          </w:p>
        </w:tc>
        <w:tc>
          <w:tcPr>
            <w:tcW w:w="6522" w:type="dxa"/>
            <w:gridSpan w:val="5"/>
          </w:tcPr>
          <w:p w:rsidR="00796EA5" w:rsidRDefault="00796EA5" w:rsidP="003B2ECB">
            <w:pPr>
              <w:pStyle w:val="TableBlock"/>
            </w:pPr>
            <w:r>
              <w:rPr>
                <w:rFonts w:hint="cs"/>
                <w:rtl/>
              </w:rPr>
              <w:t>בסעיף 145</w:t>
            </w:r>
            <w:r w:rsidR="003B2ECB">
              <w:rPr>
                <w:rFonts w:hint="cs"/>
                <w:rtl/>
              </w:rPr>
              <w:t xml:space="preserve"> - </w:t>
            </w:r>
          </w:p>
        </w:tc>
      </w:tr>
      <w:tr w:rsidR="003B2ECB">
        <w:trPr>
          <w:cantSplit/>
          <w:trHeight w:val="60"/>
        </w:trPr>
        <w:tc>
          <w:tcPr>
            <w:tcW w:w="1871" w:type="dxa"/>
          </w:tcPr>
          <w:p w:rsidR="003B2ECB" w:rsidRDefault="003B2ECB">
            <w:pPr>
              <w:pStyle w:val="TableSideHeading"/>
            </w:pPr>
          </w:p>
        </w:tc>
        <w:tc>
          <w:tcPr>
            <w:tcW w:w="624" w:type="dxa"/>
          </w:tcPr>
          <w:p w:rsidR="003B2ECB" w:rsidRDefault="003B2ECB">
            <w:pPr>
              <w:pStyle w:val="TableText"/>
            </w:pPr>
          </w:p>
        </w:tc>
        <w:tc>
          <w:tcPr>
            <w:tcW w:w="624" w:type="dxa"/>
          </w:tcPr>
          <w:p w:rsidR="003B2ECB" w:rsidRDefault="003B2ECB">
            <w:pPr>
              <w:pStyle w:val="TableText"/>
            </w:pPr>
          </w:p>
        </w:tc>
        <w:tc>
          <w:tcPr>
            <w:tcW w:w="624" w:type="dxa"/>
          </w:tcPr>
          <w:p w:rsidR="003B2ECB" w:rsidRDefault="003B2ECB" w:rsidP="000018BC">
            <w:pPr>
              <w:pStyle w:val="TableText"/>
              <w:numPr>
                <w:ilvl w:val="0"/>
                <w:numId w:val="8"/>
              </w:numPr>
              <w:ind w:right="0"/>
              <w:jc w:val="both"/>
            </w:pPr>
          </w:p>
        </w:tc>
        <w:tc>
          <w:tcPr>
            <w:tcW w:w="5898" w:type="dxa"/>
            <w:gridSpan w:val="4"/>
          </w:tcPr>
          <w:p w:rsidR="003B2ECB" w:rsidRPr="003B2ECB" w:rsidRDefault="006054D9" w:rsidP="006054D9">
            <w:pPr>
              <w:pStyle w:val="TableBlock"/>
            </w:pPr>
            <w:r>
              <w:rPr>
                <w:rFonts w:hint="cs"/>
                <w:rtl/>
              </w:rPr>
              <w:t xml:space="preserve">בסעיף קטן </w:t>
            </w:r>
            <w:r w:rsidR="003B2ECB">
              <w:rPr>
                <w:rFonts w:hint="cs"/>
                <w:rtl/>
              </w:rPr>
              <w:t>(א2), האמור בו יסומן "(1)" ואחריו יבוא:</w:t>
            </w:r>
          </w:p>
        </w:tc>
      </w:tr>
      <w:tr w:rsidR="002374D5">
        <w:trPr>
          <w:cantSplit/>
          <w:trHeight w:val="60"/>
        </w:trPr>
        <w:tc>
          <w:tcPr>
            <w:tcW w:w="1871" w:type="dxa"/>
          </w:tcPr>
          <w:p w:rsidR="002374D5" w:rsidRDefault="002374D5">
            <w:pPr>
              <w:pStyle w:val="TableSideHeading"/>
            </w:pPr>
          </w:p>
        </w:tc>
        <w:tc>
          <w:tcPr>
            <w:tcW w:w="624" w:type="dxa"/>
          </w:tcPr>
          <w:p w:rsidR="002374D5" w:rsidRDefault="002374D5">
            <w:pPr>
              <w:pStyle w:val="TableText"/>
            </w:pPr>
          </w:p>
        </w:tc>
        <w:tc>
          <w:tcPr>
            <w:tcW w:w="624" w:type="dxa"/>
          </w:tcPr>
          <w:p w:rsidR="002374D5" w:rsidRDefault="002374D5">
            <w:pPr>
              <w:pStyle w:val="TableText"/>
            </w:pPr>
          </w:p>
        </w:tc>
        <w:tc>
          <w:tcPr>
            <w:tcW w:w="624" w:type="dxa"/>
          </w:tcPr>
          <w:p w:rsidR="002374D5" w:rsidRDefault="002374D5">
            <w:pPr>
              <w:pStyle w:val="TableText"/>
            </w:pPr>
          </w:p>
        </w:tc>
        <w:tc>
          <w:tcPr>
            <w:tcW w:w="624" w:type="dxa"/>
          </w:tcPr>
          <w:p w:rsidR="002374D5" w:rsidRDefault="002374D5">
            <w:pPr>
              <w:pStyle w:val="TableText"/>
            </w:pPr>
          </w:p>
        </w:tc>
        <w:tc>
          <w:tcPr>
            <w:tcW w:w="5274" w:type="dxa"/>
            <w:gridSpan w:val="3"/>
          </w:tcPr>
          <w:p w:rsidR="002374D5" w:rsidRDefault="002374D5" w:rsidP="003179ED">
            <w:pPr>
              <w:pStyle w:val="TableBlock"/>
            </w:pPr>
            <w:r>
              <w:rPr>
                <w:rFonts w:hint="cs"/>
                <w:rtl/>
              </w:rPr>
              <w:t xml:space="preserve">"(2) </w:t>
            </w:r>
            <w:r w:rsidRPr="002A4653">
              <w:rPr>
                <w:rFonts w:hint="cs"/>
                <w:rtl/>
              </w:rPr>
              <w:t xml:space="preserve">גוף נוסף, כמשמעותו בסעיף קטן (א1)(3), </w:t>
            </w:r>
            <w:r w:rsidRPr="002A4653">
              <w:rPr>
                <w:rFonts w:hint="eastAsia"/>
                <w:rtl/>
              </w:rPr>
              <w:t>אשר</w:t>
            </w:r>
            <w:r w:rsidRPr="002A4653">
              <w:rPr>
                <w:rtl/>
              </w:rPr>
              <w:t xml:space="preserve"> </w:t>
            </w:r>
            <w:r w:rsidRPr="002A4653">
              <w:rPr>
                <w:rFonts w:hint="eastAsia"/>
                <w:rtl/>
              </w:rPr>
              <w:t>לא</w:t>
            </w:r>
            <w:r w:rsidRPr="002A4653">
              <w:rPr>
                <w:rtl/>
              </w:rPr>
              <w:t xml:space="preserve"> </w:t>
            </w:r>
            <w:r w:rsidRPr="002A4653">
              <w:rPr>
                <w:rFonts w:hint="eastAsia"/>
                <w:rtl/>
              </w:rPr>
              <w:t>ישיב</w:t>
            </w:r>
            <w:r w:rsidRPr="002A4653">
              <w:rPr>
                <w:rtl/>
              </w:rPr>
              <w:t xml:space="preserve"> </w:t>
            </w:r>
            <w:r w:rsidRPr="002A4653">
              <w:rPr>
                <w:rFonts w:hint="eastAsia"/>
                <w:rtl/>
              </w:rPr>
              <w:t>לפניית</w:t>
            </w:r>
            <w:r w:rsidRPr="002A4653">
              <w:rPr>
                <w:rtl/>
              </w:rPr>
              <w:t xml:space="preserve"> </w:t>
            </w:r>
            <w:r w:rsidRPr="002A4653">
              <w:rPr>
                <w:rFonts w:hint="cs"/>
                <w:rtl/>
              </w:rPr>
              <w:t>מהנדס</w:t>
            </w:r>
            <w:r w:rsidRPr="002A4653">
              <w:rPr>
                <w:rtl/>
              </w:rPr>
              <w:t xml:space="preserve"> </w:t>
            </w:r>
            <w:r w:rsidR="003179ED">
              <w:rPr>
                <w:rFonts w:hint="cs"/>
                <w:rtl/>
              </w:rPr>
              <w:t xml:space="preserve">הוועדה </w:t>
            </w:r>
            <w:r w:rsidRPr="002A4653">
              <w:rPr>
                <w:rFonts w:hint="cs"/>
                <w:rtl/>
              </w:rPr>
              <w:t xml:space="preserve">במועדים שנקבעו בהוראות לפי סעיף </w:t>
            </w:r>
            <w:r w:rsidR="00650C02">
              <w:rPr>
                <w:rFonts w:hint="cs"/>
                <w:rtl/>
              </w:rPr>
              <w:t xml:space="preserve">קטן </w:t>
            </w:r>
            <w:r w:rsidRPr="002A4653">
              <w:rPr>
                <w:rFonts w:hint="cs"/>
                <w:rtl/>
              </w:rPr>
              <w:t xml:space="preserve">(א1) </w:t>
            </w:r>
            <w:r w:rsidRPr="002A4653">
              <w:rPr>
                <w:rFonts w:hint="eastAsia"/>
                <w:rtl/>
              </w:rPr>
              <w:t>בעניין</w:t>
            </w:r>
            <w:r w:rsidRPr="002A4653">
              <w:rPr>
                <w:rtl/>
              </w:rPr>
              <w:t xml:space="preserve"> </w:t>
            </w:r>
            <w:r w:rsidRPr="002A4653">
              <w:rPr>
                <w:rFonts w:hint="eastAsia"/>
                <w:rtl/>
              </w:rPr>
              <w:t>בקשה</w:t>
            </w:r>
            <w:r w:rsidRPr="002A4653">
              <w:rPr>
                <w:rtl/>
              </w:rPr>
              <w:t xml:space="preserve"> </w:t>
            </w:r>
            <w:r w:rsidRPr="002A4653">
              <w:rPr>
                <w:rFonts w:hint="eastAsia"/>
                <w:rtl/>
              </w:rPr>
              <w:t>ל</w:t>
            </w:r>
            <w:r w:rsidRPr="002A4653">
              <w:rPr>
                <w:rFonts w:hint="cs"/>
                <w:rtl/>
              </w:rPr>
              <w:t>מידע</w:t>
            </w:r>
            <w:r w:rsidRPr="002A4653">
              <w:rPr>
                <w:rtl/>
              </w:rPr>
              <w:t xml:space="preserve"> </w:t>
            </w:r>
            <w:r w:rsidRPr="002A4653">
              <w:rPr>
                <w:rFonts w:hint="eastAsia"/>
                <w:rtl/>
              </w:rPr>
              <w:t>או</w:t>
            </w:r>
            <w:r w:rsidRPr="002A4653">
              <w:rPr>
                <w:rtl/>
              </w:rPr>
              <w:t xml:space="preserve"> </w:t>
            </w:r>
            <w:r w:rsidRPr="002A4653">
              <w:rPr>
                <w:rFonts w:hint="eastAsia"/>
                <w:rtl/>
              </w:rPr>
              <w:t>בקשה</w:t>
            </w:r>
            <w:r w:rsidRPr="002A4653">
              <w:rPr>
                <w:rtl/>
              </w:rPr>
              <w:t xml:space="preserve"> </w:t>
            </w:r>
            <w:r w:rsidRPr="002A4653">
              <w:rPr>
                <w:rFonts w:hint="eastAsia"/>
                <w:rtl/>
              </w:rPr>
              <w:t>ל</w:t>
            </w:r>
            <w:r w:rsidRPr="002A4653">
              <w:rPr>
                <w:rFonts w:hint="cs"/>
                <w:rtl/>
              </w:rPr>
              <w:t>היתר</w:t>
            </w:r>
            <w:r w:rsidRPr="002A4653">
              <w:rPr>
                <w:rtl/>
              </w:rPr>
              <w:t>,</w:t>
            </w:r>
            <w:r w:rsidRPr="002A4653">
              <w:rPr>
                <w:rFonts w:hint="cs"/>
                <w:rtl/>
              </w:rPr>
              <w:t xml:space="preserve"> </w:t>
            </w:r>
            <w:r w:rsidRPr="002A4653">
              <w:rPr>
                <w:rtl/>
              </w:rPr>
              <w:t xml:space="preserve">יחויב בתשלום פיצוי </w:t>
            </w:r>
            <w:r w:rsidR="00EE6684">
              <w:rPr>
                <w:rFonts w:hint="cs"/>
                <w:rtl/>
              </w:rPr>
              <w:t xml:space="preserve">בלא הוכחת נזק </w:t>
            </w:r>
            <w:r w:rsidRPr="002A4653">
              <w:rPr>
                <w:rFonts w:hint="eastAsia"/>
                <w:rtl/>
              </w:rPr>
              <w:t>למבקש</w:t>
            </w:r>
            <w:r w:rsidRPr="002A4653">
              <w:rPr>
                <w:rtl/>
              </w:rPr>
              <w:t xml:space="preserve"> המידע או ההיתר </w:t>
            </w:r>
            <w:r w:rsidRPr="002A4653">
              <w:rPr>
                <w:rFonts w:hint="cs"/>
                <w:rtl/>
              </w:rPr>
              <w:t xml:space="preserve">לפי העניין </w:t>
            </w:r>
            <w:r w:rsidRPr="002A4653">
              <w:rPr>
                <w:rFonts w:hint="eastAsia"/>
                <w:rtl/>
              </w:rPr>
              <w:t>בגובה</w:t>
            </w:r>
            <w:r w:rsidRPr="002A4653">
              <w:rPr>
                <w:rtl/>
              </w:rPr>
              <w:t xml:space="preserve"> של 350 </w:t>
            </w:r>
            <w:r w:rsidRPr="002A4653">
              <w:rPr>
                <w:rFonts w:hint="eastAsia"/>
                <w:rtl/>
              </w:rPr>
              <w:t>ש</w:t>
            </w:r>
            <w:r w:rsidRPr="002A4653">
              <w:rPr>
                <w:rtl/>
              </w:rPr>
              <w:t>"ח בעד כל יום איחור</w:t>
            </w:r>
            <w:r>
              <w:rPr>
                <w:rFonts w:hint="cs"/>
                <w:rtl/>
              </w:rPr>
              <w:t>;</w:t>
            </w:r>
          </w:p>
        </w:tc>
      </w:tr>
      <w:tr w:rsidR="002374D5">
        <w:trPr>
          <w:cantSplit/>
          <w:trHeight w:val="60"/>
        </w:trPr>
        <w:tc>
          <w:tcPr>
            <w:tcW w:w="1871" w:type="dxa"/>
          </w:tcPr>
          <w:p w:rsidR="002374D5" w:rsidRDefault="002374D5" w:rsidP="002374D5">
            <w:pPr>
              <w:pStyle w:val="TableSideHeading"/>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5274" w:type="dxa"/>
            <w:gridSpan w:val="3"/>
          </w:tcPr>
          <w:p w:rsidR="002374D5" w:rsidRPr="002A4653" w:rsidRDefault="002374D5" w:rsidP="002374D5">
            <w:pPr>
              <w:pStyle w:val="TableBlock"/>
              <w:rPr>
                <w:rtl/>
              </w:rPr>
            </w:pPr>
            <w:r>
              <w:rPr>
                <w:rFonts w:hint="cs"/>
                <w:rtl/>
              </w:rPr>
              <w:t xml:space="preserve">(3) </w:t>
            </w:r>
            <w:r w:rsidRPr="002A4653">
              <w:rPr>
                <w:rFonts w:hint="cs"/>
                <w:rtl/>
              </w:rPr>
              <w:t xml:space="preserve">השיב הגורם הנוסף כאמור כי המידע אינו מצוי בידו, </w:t>
            </w:r>
            <w:r w:rsidRPr="002A4653">
              <w:rPr>
                <w:rFonts w:hint="eastAsia"/>
                <w:rtl/>
              </w:rPr>
              <w:t>ישלים</w:t>
            </w:r>
            <w:r w:rsidRPr="002A4653">
              <w:rPr>
                <w:rtl/>
              </w:rPr>
              <w:t xml:space="preserve"> </w:t>
            </w:r>
            <w:r w:rsidRPr="002A4653">
              <w:rPr>
                <w:rFonts w:hint="eastAsia"/>
                <w:rtl/>
              </w:rPr>
              <w:t>הגורם</w:t>
            </w:r>
            <w:r w:rsidRPr="002A4653">
              <w:rPr>
                <w:rtl/>
              </w:rPr>
              <w:t xml:space="preserve"> </w:t>
            </w:r>
            <w:r w:rsidRPr="002A4653">
              <w:rPr>
                <w:rFonts w:hint="cs"/>
                <w:rtl/>
              </w:rPr>
              <w:t xml:space="preserve">הנוסף </w:t>
            </w:r>
            <w:r w:rsidRPr="002A4653">
              <w:rPr>
                <w:rFonts w:hint="eastAsia"/>
                <w:rtl/>
              </w:rPr>
              <w:t>את</w:t>
            </w:r>
            <w:r w:rsidRPr="002A4653">
              <w:rPr>
                <w:rtl/>
              </w:rPr>
              <w:t xml:space="preserve"> </w:t>
            </w:r>
            <w:r w:rsidRPr="002A4653">
              <w:rPr>
                <w:rFonts w:hint="eastAsia"/>
                <w:rtl/>
              </w:rPr>
              <w:t>המידע</w:t>
            </w:r>
            <w:r w:rsidRPr="002A4653">
              <w:rPr>
                <w:rtl/>
              </w:rPr>
              <w:t xml:space="preserve"> </w:t>
            </w:r>
            <w:r w:rsidRPr="002A4653">
              <w:rPr>
                <w:rFonts w:hint="eastAsia"/>
                <w:rtl/>
              </w:rPr>
              <w:t>בתוך</w:t>
            </w:r>
            <w:r w:rsidRPr="002A4653">
              <w:rPr>
                <w:rtl/>
              </w:rPr>
              <w:t xml:space="preserve"> 45 </w:t>
            </w:r>
            <w:r w:rsidRPr="002A4653">
              <w:rPr>
                <w:rFonts w:hint="eastAsia"/>
                <w:rtl/>
              </w:rPr>
              <w:t>ימים</w:t>
            </w:r>
            <w:r w:rsidRPr="002A4653">
              <w:rPr>
                <w:rtl/>
              </w:rPr>
              <w:t xml:space="preserve"> </w:t>
            </w:r>
            <w:r w:rsidRPr="002A4653">
              <w:rPr>
                <w:rFonts w:hint="eastAsia"/>
                <w:rtl/>
              </w:rPr>
              <w:t>נוספים</w:t>
            </w:r>
            <w:r>
              <w:rPr>
                <w:rFonts w:hint="cs"/>
                <w:rtl/>
              </w:rPr>
              <w:t>;</w:t>
            </w:r>
          </w:p>
        </w:tc>
      </w:tr>
      <w:tr w:rsidR="002374D5">
        <w:trPr>
          <w:cantSplit/>
          <w:trHeight w:val="60"/>
        </w:trPr>
        <w:tc>
          <w:tcPr>
            <w:tcW w:w="1871" w:type="dxa"/>
          </w:tcPr>
          <w:p w:rsidR="002374D5" w:rsidRDefault="002374D5" w:rsidP="002374D5">
            <w:pPr>
              <w:pStyle w:val="TableSideHeading"/>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5274" w:type="dxa"/>
            <w:gridSpan w:val="3"/>
          </w:tcPr>
          <w:p w:rsidR="002374D5" w:rsidRDefault="002374D5" w:rsidP="002374D5">
            <w:pPr>
              <w:pStyle w:val="TableBlock"/>
              <w:rPr>
                <w:rtl/>
              </w:rPr>
            </w:pPr>
            <w:r>
              <w:rPr>
                <w:rFonts w:hint="cs"/>
                <w:rtl/>
              </w:rPr>
              <w:t xml:space="preserve">(4) </w:t>
            </w:r>
            <w:r w:rsidRPr="000B7B87">
              <w:rPr>
                <w:rFonts w:hint="cs"/>
                <w:rtl/>
              </w:rPr>
              <w:t>לא הושלם המידע לאחר מועד זה,</w:t>
            </w:r>
            <w:r w:rsidRPr="000B7B87">
              <w:rPr>
                <w:rtl/>
              </w:rPr>
              <w:t xml:space="preserve"> </w:t>
            </w:r>
            <w:r w:rsidRPr="000B7B87">
              <w:rPr>
                <w:rFonts w:hint="cs"/>
                <w:rtl/>
              </w:rPr>
              <w:t>רשאית רשות הרישוי לתת את ההיתר על אף היעדר המידע, ובלבד ששוכנעה שאין קושי ממשי לתת את ההיתר גם ללא קבלת המידע</w:t>
            </w:r>
            <w:r>
              <w:rPr>
                <w:rFonts w:hint="cs"/>
                <w:rtl/>
              </w:rPr>
              <w:t>.";</w:t>
            </w:r>
          </w:p>
        </w:tc>
      </w:tr>
      <w:tr w:rsidR="002374D5">
        <w:trPr>
          <w:cantSplit/>
          <w:trHeight w:val="60"/>
        </w:trPr>
        <w:tc>
          <w:tcPr>
            <w:tcW w:w="1871" w:type="dxa"/>
          </w:tcPr>
          <w:p w:rsidR="002374D5" w:rsidRDefault="002374D5" w:rsidP="002374D5">
            <w:pPr>
              <w:pStyle w:val="TableSideHeading"/>
            </w:pPr>
          </w:p>
        </w:tc>
        <w:tc>
          <w:tcPr>
            <w:tcW w:w="624" w:type="dxa"/>
          </w:tcPr>
          <w:p w:rsidR="002374D5" w:rsidRDefault="002374D5" w:rsidP="002374D5">
            <w:pPr>
              <w:pStyle w:val="TableText"/>
            </w:pPr>
          </w:p>
        </w:tc>
        <w:tc>
          <w:tcPr>
            <w:tcW w:w="624" w:type="dxa"/>
          </w:tcPr>
          <w:p w:rsidR="002374D5" w:rsidRDefault="002374D5" w:rsidP="002374D5">
            <w:pPr>
              <w:pStyle w:val="TableText"/>
            </w:pPr>
          </w:p>
        </w:tc>
        <w:tc>
          <w:tcPr>
            <w:tcW w:w="624" w:type="dxa"/>
          </w:tcPr>
          <w:p w:rsidR="002374D5" w:rsidRDefault="002374D5" w:rsidP="000018BC">
            <w:pPr>
              <w:pStyle w:val="TableText"/>
              <w:numPr>
                <w:ilvl w:val="0"/>
                <w:numId w:val="8"/>
              </w:numPr>
              <w:rPr>
                <w:rtl/>
              </w:rPr>
            </w:pPr>
          </w:p>
        </w:tc>
        <w:tc>
          <w:tcPr>
            <w:tcW w:w="5898" w:type="dxa"/>
            <w:gridSpan w:val="4"/>
          </w:tcPr>
          <w:p w:rsidR="002374D5" w:rsidRPr="002A4653" w:rsidRDefault="00731E59" w:rsidP="00731E59">
            <w:pPr>
              <w:pStyle w:val="TableBlock"/>
              <w:rPr>
                <w:rtl/>
              </w:rPr>
            </w:pPr>
            <w:r>
              <w:rPr>
                <w:rFonts w:hint="cs"/>
                <w:rtl/>
              </w:rPr>
              <w:t xml:space="preserve">בסעיף קטן (ו), </w:t>
            </w:r>
            <w:r w:rsidR="002374D5">
              <w:rPr>
                <w:rFonts w:hint="cs"/>
                <w:rtl/>
              </w:rPr>
              <w:t>אחרי פסקה (</w:t>
            </w:r>
            <w:r>
              <w:rPr>
                <w:rFonts w:hint="cs"/>
                <w:rtl/>
              </w:rPr>
              <w:t>1</w:t>
            </w:r>
            <w:r w:rsidR="002374D5">
              <w:rPr>
                <w:rFonts w:hint="cs"/>
                <w:rtl/>
              </w:rPr>
              <w:t xml:space="preserve">) יבוא: </w:t>
            </w:r>
          </w:p>
        </w:tc>
      </w:tr>
      <w:tr w:rsidR="002374D5">
        <w:trPr>
          <w:cantSplit/>
          <w:trHeight w:val="60"/>
        </w:trPr>
        <w:tc>
          <w:tcPr>
            <w:tcW w:w="1871" w:type="dxa"/>
          </w:tcPr>
          <w:p w:rsidR="002374D5" w:rsidRDefault="002374D5">
            <w:pPr>
              <w:pStyle w:val="TableSideHeading"/>
            </w:pPr>
          </w:p>
        </w:tc>
        <w:tc>
          <w:tcPr>
            <w:tcW w:w="624" w:type="dxa"/>
          </w:tcPr>
          <w:p w:rsidR="002374D5" w:rsidRDefault="002374D5">
            <w:pPr>
              <w:pStyle w:val="TableText"/>
            </w:pPr>
          </w:p>
        </w:tc>
        <w:tc>
          <w:tcPr>
            <w:tcW w:w="624" w:type="dxa"/>
          </w:tcPr>
          <w:p w:rsidR="002374D5" w:rsidRDefault="002374D5">
            <w:pPr>
              <w:pStyle w:val="TableText"/>
            </w:pPr>
          </w:p>
        </w:tc>
        <w:tc>
          <w:tcPr>
            <w:tcW w:w="624" w:type="dxa"/>
          </w:tcPr>
          <w:p w:rsidR="002374D5" w:rsidRDefault="002374D5">
            <w:pPr>
              <w:pStyle w:val="TableText"/>
            </w:pPr>
          </w:p>
        </w:tc>
        <w:tc>
          <w:tcPr>
            <w:tcW w:w="624" w:type="dxa"/>
          </w:tcPr>
          <w:p w:rsidR="002374D5" w:rsidRDefault="002374D5">
            <w:pPr>
              <w:pStyle w:val="TableText"/>
            </w:pPr>
          </w:p>
        </w:tc>
        <w:tc>
          <w:tcPr>
            <w:tcW w:w="624" w:type="dxa"/>
          </w:tcPr>
          <w:p w:rsidR="002374D5" w:rsidRDefault="00A6641C" w:rsidP="00731E59">
            <w:pPr>
              <w:pStyle w:val="TableText"/>
            </w:pPr>
            <w:r>
              <w:rPr>
                <w:rFonts w:hint="cs"/>
                <w:rtl/>
              </w:rPr>
              <w:t>"</w:t>
            </w:r>
            <w:r w:rsidR="002374D5">
              <w:rPr>
                <w:rFonts w:hint="cs"/>
                <w:rtl/>
              </w:rPr>
              <w:t>(1</w:t>
            </w:r>
            <w:r w:rsidR="00731E59">
              <w:rPr>
                <w:rFonts w:hint="cs"/>
                <w:rtl/>
              </w:rPr>
              <w:t>א</w:t>
            </w:r>
            <w:r w:rsidR="002374D5">
              <w:rPr>
                <w:rFonts w:hint="cs"/>
                <w:rtl/>
              </w:rPr>
              <w:t>)</w:t>
            </w:r>
          </w:p>
        </w:tc>
        <w:tc>
          <w:tcPr>
            <w:tcW w:w="4650" w:type="dxa"/>
            <w:gridSpan w:val="2"/>
          </w:tcPr>
          <w:p w:rsidR="002374D5" w:rsidRDefault="008409AA" w:rsidP="002338B7">
            <w:pPr>
              <w:pStyle w:val="TableBlock"/>
            </w:pPr>
            <w:r w:rsidRPr="004473E4">
              <w:rPr>
                <w:rFonts w:hint="cs"/>
                <w:rtl/>
              </w:rPr>
              <w:t>על אף האמור ב</w:t>
            </w:r>
            <w:r w:rsidR="00731E59">
              <w:rPr>
                <w:rFonts w:hint="cs"/>
                <w:rtl/>
              </w:rPr>
              <w:t>פסקה</w:t>
            </w:r>
            <w:r w:rsidRPr="004473E4">
              <w:rPr>
                <w:rFonts w:hint="cs"/>
                <w:rtl/>
              </w:rPr>
              <w:t xml:space="preserve"> (</w:t>
            </w:r>
            <w:r w:rsidR="00731E59">
              <w:rPr>
                <w:rFonts w:hint="cs"/>
                <w:rtl/>
              </w:rPr>
              <w:t>1</w:t>
            </w:r>
            <w:r w:rsidRPr="004473E4">
              <w:rPr>
                <w:rFonts w:hint="cs"/>
                <w:rtl/>
              </w:rPr>
              <w:t>), עבודות אל</w:t>
            </w:r>
            <w:r w:rsidR="002338B7">
              <w:rPr>
                <w:rFonts w:hint="cs"/>
                <w:rtl/>
              </w:rPr>
              <w:t>ה</w:t>
            </w:r>
            <w:r w:rsidRPr="004473E4">
              <w:rPr>
                <w:rFonts w:hint="cs"/>
                <w:rtl/>
              </w:rPr>
              <w:t xml:space="preserve"> יהיו פטורות מקבלת היתר בנייה והרשאה:</w:t>
            </w:r>
          </w:p>
        </w:tc>
      </w:tr>
      <w:tr w:rsidR="008409AA">
        <w:trPr>
          <w:cantSplit/>
          <w:trHeight w:val="60"/>
        </w:trPr>
        <w:tc>
          <w:tcPr>
            <w:tcW w:w="1871" w:type="dxa"/>
          </w:tcPr>
          <w:p w:rsidR="008409AA" w:rsidRDefault="008409AA">
            <w:pPr>
              <w:pStyle w:val="TableSideHeading"/>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rsidP="00A6641C">
            <w:pPr>
              <w:pStyle w:val="TableText"/>
              <w:numPr>
                <w:ilvl w:val="0"/>
                <w:numId w:val="12"/>
              </w:numPr>
              <w:tabs>
                <w:tab w:val="clear" w:pos="984"/>
              </w:tabs>
              <w:ind w:left="0" w:right="0"/>
              <w:jc w:val="both"/>
            </w:pPr>
          </w:p>
        </w:tc>
        <w:tc>
          <w:tcPr>
            <w:tcW w:w="4026" w:type="dxa"/>
          </w:tcPr>
          <w:p w:rsidR="008409AA" w:rsidRDefault="008409AA">
            <w:pPr>
              <w:pStyle w:val="TableBlock"/>
            </w:pPr>
            <w:r w:rsidRPr="004473E4">
              <w:rPr>
                <w:rtl/>
              </w:rPr>
              <w:t xml:space="preserve">הנחת רשת סיבים אופטיים לצורך אספקת שירותי בזק </w:t>
            </w:r>
            <w:r w:rsidRPr="004473E4">
              <w:rPr>
                <w:rFonts w:hint="cs"/>
                <w:rtl/>
              </w:rPr>
              <w:t xml:space="preserve">תקשורת קווית, </w:t>
            </w:r>
            <w:r w:rsidRPr="004473E4">
              <w:rPr>
                <w:rtl/>
              </w:rPr>
              <w:t>על גבי רשת חשמל עילית</w:t>
            </w:r>
            <w:r w:rsidRPr="004473E4">
              <w:rPr>
                <w:rFonts w:hint="cs"/>
                <w:rtl/>
              </w:rPr>
              <w:t xml:space="preserve"> שהקים </w:t>
            </w:r>
            <w:r w:rsidRPr="004473E4">
              <w:rPr>
                <w:rFonts w:hint="eastAsia"/>
                <w:rtl/>
              </w:rPr>
              <w:t>בעל</w:t>
            </w:r>
            <w:r w:rsidRPr="004473E4">
              <w:rPr>
                <w:rtl/>
              </w:rPr>
              <w:t xml:space="preserve"> </w:t>
            </w:r>
            <w:r w:rsidRPr="004473E4">
              <w:rPr>
                <w:rFonts w:hint="eastAsia"/>
                <w:rtl/>
              </w:rPr>
              <w:t>רישיון</w:t>
            </w:r>
            <w:r w:rsidRPr="004473E4">
              <w:rPr>
                <w:rtl/>
              </w:rPr>
              <w:t xml:space="preserve"> </w:t>
            </w:r>
            <w:r w:rsidRPr="004473E4">
              <w:rPr>
                <w:rFonts w:hint="eastAsia"/>
                <w:rtl/>
              </w:rPr>
              <w:t>ספק</w:t>
            </w:r>
            <w:r w:rsidRPr="004473E4">
              <w:rPr>
                <w:rtl/>
              </w:rPr>
              <w:t xml:space="preserve"> </w:t>
            </w:r>
            <w:r w:rsidRPr="004473E4">
              <w:rPr>
                <w:rFonts w:hint="eastAsia"/>
                <w:rtl/>
              </w:rPr>
              <w:t>שירות</w:t>
            </w:r>
            <w:r w:rsidRPr="004473E4">
              <w:rPr>
                <w:rtl/>
              </w:rPr>
              <w:t xml:space="preserve"> </w:t>
            </w:r>
            <w:r w:rsidRPr="004473E4">
              <w:rPr>
                <w:rFonts w:hint="eastAsia"/>
                <w:rtl/>
              </w:rPr>
              <w:t>חיוני</w:t>
            </w:r>
            <w:r w:rsidRPr="004473E4">
              <w:rPr>
                <w:rtl/>
              </w:rPr>
              <w:t xml:space="preserve"> </w:t>
            </w:r>
            <w:r w:rsidRPr="004473E4">
              <w:rPr>
                <w:rFonts w:hint="eastAsia"/>
                <w:rtl/>
              </w:rPr>
              <w:t>כהגדרתו</w:t>
            </w:r>
            <w:r w:rsidRPr="004473E4">
              <w:rPr>
                <w:rtl/>
              </w:rPr>
              <w:t xml:space="preserve"> </w:t>
            </w:r>
            <w:r w:rsidRPr="004473E4">
              <w:rPr>
                <w:rFonts w:hint="eastAsia"/>
                <w:rtl/>
              </w:rPr>
              <w:t>בחוק</w:t>
            </w:r>
            <w:r w:rsidRPr="004473E4">
              <w:rPr>
                <w:rtl/>
              </w:rPr>
              <w:t xml:space="preserve"> </w:t>
            </w:r>
            <w:r w:rsidRPr="004473E4">
              <w:rPr>
                <w:rFonts w:hint="eastAsia"/>
                <w:rtl/>
              </w:rPr>
              <w:t>משק</w:t>
            </w:r>
            <w:r w:rsidRPr="004473E4">
              <w:rPr>
                <w:rtl/>
              </w:rPr>
              <w:t xml:space="preserve"> </w:t>
            </w:r>
            <w:r w:rsidRPr="004473E4">
              <w:rPr>
                <w:rFonts w:hint="eastAsia"/>
                <w:rtl/>
              </w:rPr>
              <w:t>החשמל</w:t>
            </w:r>
            <w:r w:rsidRPr="004473E4">
              <w:rPr>
                <w:rFonts w:hint="cs"/>
                <w:rtl/>
              </w:rPr>
              <w:t xml:space="preserve"> או בעל זיכיון לפי פקודת זיכיונות החשמל</w:t>
            </w:r>
            <w:r w:rsidRPr="004473E4">
              <w:rPr>
                <w:rtl/>
              </w:rPr>
              <w:t>,</w:t>
            </w:r>
            <w:r w:rsidRPr="004473E4">
              <w:rPr>
                <w:rFonts w:hint="cs"/>
                <w:rtl/>
              </w:rPr>
              <w:t xml:space="preserve"> </w:t>
            </w:r>
            <w:r w:rsidRPr="004473E4">
              <w:rPr>
                <w:rtl/>
              </w:rPr>
              <w:t xml:space="preserve">לרבות התקנת תיבות חיבורים וארונות תקשורת שגודלם אינו עולה על 80 </w:t>
            </w:r>
            <w:r w:rsidRPr="004473E4">
              <w:t>X</w:t>
            </w:r>
            <w:r w:rsidRPr="004473E4">
              <w:rPr>
                <w:rtl/>
              </w:rPr>
              <w:t xml:space="preserve"> 40 </w:t>
            </w:r>
            <w:r w:rsidRPr="004473E4">
              <w:t>X</w:t>
            </w:r>
            <w:r w:rsidRPr="004473E4">
              <w:rPr>
                <w:rtl/>
              </w:rPr>
              <w:t xml:space="preserve"> 50 סנטימטרים, על ידי </w:t>
            </w:r>
            <w:r w:rsidRPr="004473E4">
              <w:rPr>
                <w:rFonts w:hint="eastAsia"/>
                <w:rtl/>
              </w:rPr>
              <w:t>ב</w:t>
            </w:r>
            <w:r w:rsidRPr="004473E4">
              <w:rPr>
                <w:rtl/>
              </w:rPr>
              <w:t xml:space="preserve">על רישיון ספק שירות חיוני, כהגדרתו בחוק משק החשמל, </w:t>
            </w:r>
            <w:r w:rsidRPr="004473E4">
              <w:rPr>
                <w:rFonts w:hint="eastAsia"/>
                <w:rtl/>
              </w:rPr>
              <w:t>התשנ</w:t>
            </w:r>
            <w:r w:rsidRPr="004473E4">
              <w:rPr>
                <w:rtl/>
              </w:rPr>
              <w:t>"ו-1996</w:t>
            </w:r>
            <w:r w:rsidRPr="004473E4">
              <w:rPr>
                <w:rFonts w:hint="cs"/>
                <w:rtl/>
              </w:rPr>
              <w:t>;</w:t>
            </w:r>
          </w:p>
        </w:tc>
      </w:tr>
      <w:tr w:rsidR="008409AA">
        <w:trPr>
          <w:cantSplit/>
          <w:trHeight w:val="60"/>
        </w:trPr>
        <w:tc>
          <w:tcPr>
            <w:tcW w:w="1871" w:type="dxa"/>
          </w:tcPr>
          <w:p w:rsidR="008409AA" w:rsidRDefault="008409AA">
            <w:pPr>
              <w:pStyle w:val="TableSideHeading"/>
            </w:pPr>
          </w:p>
        </w:tc>
        <w:tc>
          <w:tcPr>
            <w:tcW w:w="624" w:type="dxa"/>
          </w:tcPr>
          <w:p w:rsidR="008409AA" w:rsidRDefault="008409AA" w:rsidP="008409AA">
            <w:pPr>
              <w:pStyle w:val="TableText"/>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pPr>
              <w:pStyle w:val="TableText"/>
            </w:pPr>
          </w:p>
        </w:tc>
        <w:tc>
          <w:tcPr>
            <w:tcW w:w="624" w:type="dxa"/>
          </w:tcPr>
          <w:p w:rsidR="008409AA" w:rsidRDefault="008409AA" w:rsidP="00A6641C">
            <w:pPr>
              <w:pStyle w:val="TableText"/>
              <w:numPr>
                <w:ilvl w:val="0"/>
                <w:numId w:val="12"/>
              </w:numPr>
              <w:tabs>
                <w:tab w:val="clear" w:pos="984"/>
              </w:tabs>
              <w:ind w:left="0" w:right="0"/>
              <w:jc w:val="both"/>
            </w:pPr>
          </w:p>
        </w:tc>
        <w:tc>
          <w:tcPr>
            <w:tcW w:w="4026" w:type="dxa"/>
          </w:tcPr>
          <w:p w:rsidR="008409AA" w:rsidRPr="004473E4" w:rsidRDefault="00B17290" w:rsidP="00B17290">
            <w:pPr>
              <w:pStyle w:val="TableBlock"/>
              <w:rPr>
                <w:rtl/>
              </w:rPr>
            </w:pPr>
            <w:r>
              <w:rPr>
                <w:rFonts w:hint="cs"/>
                <w:rtl/>
              </w:rPr>
              <w:t>הטמנת</w:t>
            </w:r>
            <w:r w:rsidR="008409AA" w:rsidRPr="004473E4">
              <w:rPr>
                <w:rFonts w:hint="cs"/>
                <w:rtl/>
              </w:rPr>
              <w:t xml:space="preserve"> רשת הסיבים האופטיים</w:t>
            </w:r>
            <w:r>
              <w:rPr>
                <w:rFonts w:hint="cs"/>
                <w:rtl/>
              </w:rPr>
              <w:t>, אם הוטמנה רשת החשמל שעל גביה הייתה מחוברת</w:t>
            </w:r>
            <w:r w:rsidR="00802C49" w:rsidRPr="004473E4">
              <w:rPr>
                <w:rFonts w:hint="cs"/>
                <w:rtl/>
              </w:rPr>
              <w:t>.";</w:t>
            </w:r>
          </w:p>
        </w:tc>
      </w:tr>
      <w:tr w:rsidR="00A609D5">
        <w:trPr>
          <w:cantSplit/>
          <w:trHeight w:val="60"/>
        </w:trPr>
        <w:tc>
          <w:tcPr>
            <w:tcW w:w="1871" w:type="dxa"/>
          </w:tcPr>
          <w:p w:rsidR="00A609D5" w:rsidRDefault="00A609D5">
            <w:pPr>
              <w:pStyle w:val="TableSideHeading"/>
            </w:pPr>
          </w:p>
        </w:tc>
        <w:tc>
          <w:tcPr>
            <w:tcW w:w="624" w:type="dxa"/>
          </w:tcPr>
          <w:p w:rsidR="00A609D5" w:rsidRDefault="00A609D5">
            <w:pPr>
              <w:pStyle w:val="TableText"/>
            </w:pPr>
          </w:p>
        </w:tc>
        <w:tc>
          <w:tcPr>
            <w:tcW w:w="624" w:type="dxa"/>
          </w:tcPr>
          <w:p w:rsidR="00A609D5" w:rsidRDefault="00A609D5">
            <w:pPr>
              <w:pStyle w:val="TableText"/>
            </w:pPr>
            <w:r>
              <w:rPr>
                <w:rFonts w:hint="cs"/>
                <w:rtl/>
              </w:rPr>
              <w:t>(5)</w:t>
            </w:r>
          </w:p>
        </w:tc>
        <w:tc>
          <w:tcPr>
            <w:tcW w:w="6522" w:type="dxa"/>
            <w:gridSpan w:val="5"/>
          </w:tcPr>
          <w:p w:rsidR="00A609D5" w:rsidRDefault="00A609D5" w:rsidP="002338B7">
            <w:pPr>
              <w:pStyle w:val="TableBlock"/>
              <w:rPr>
                <w:rtl/>
              </w:rPr>
            </w:pPr>
            <w:r>
              <w:rPr>
                <w:rFonts w:hint="cs"/>
                <w:rtl/>
              </w:rPr>
              <w:t xml:space="preserve">בסעיף 152(א3), </w:t>
            </w:r>
            <w:r w:rsidR="00A6641C">
              <w:rPr>
                <w:rFonts w:hint="cs"/>
                <w:rtl/>
              </w:rPr>
              <w:t xml:space="preserve">בסיפה, במקום </w:t>
            </w:r>
            <w:r w:rsidR="0062551F">
              <w:rPr>
                <w:rFonts w:hint="cs"/>
                <w:rtl/>
              </w:rPr>
              <w:t>"</w:t>
            </w:r>
            <w:r w:rsidR="0062551F" w:rsidRPr="0062551F">
              <w:rPr>
                <w:rFonts w:hint="cs"/>
                <w:rtl/>
              </w:rPr>
              <w:t>קבעה כאמור, תיתן את ההיתר למבקש במקום רשות הרישוי המקומית</w:t>
            </w:r>
            <w:r w:rsidR="0062551F">
              <w:rPr>
                <w:rFonts w:hint="cs"/>
                <w:rtl/>
              </w:rPr>
              <w:t>" יבוא "</w:t>
            </w:r>
            <w:r w:rsidR="00D30735">
              <w:rPr>
                <w:rFonts w:hint="cs"/>
                <w:rtl/>
              </w:rPr>
              <w:t xml:space="preserve">על אף האמור, </w:t>
            </w:r>
            <w:r w:rsidR="00AA2401" w:rsidRPr="00AA2401">
              <w:rPr>
                <w:rFonts w:hint="cs"/>
                <w:rtl/>
              </w:rPr>
              <w:t>מבקש ההיתר רשאי לפנות לרשות הרישוי המחוזית כהגדרתה בסעיף 12(ב) לשם הוצאת ההיתר</w:t>
            </w:r>
            <w:r w:rsidR="00D30735">
              <w:rPr>
                <w:rFonts w:hint="cs"/>
                <w:rtl/>
              </w:rPr>
              <w:t>;</w:t>
            </w:r>
            <w:r w:rsidR="00FA7650" w:rsidRPr="00AA2401" w:rsidDel="00FA7650">
              <w:rPr>
                <w:rFonts w:hint="cs"/>
                <w:rtl/>
              </w:rPr>
              <w:t xml:space="preserve"> </w:t>
            </w:r>
            <w:r w:rsidR="00FA7650">
              <w:rPr>
                <w:rFonts w:hint="cs"/>
                <w:rtl/>
              </w:rPr>
              <w:t xml:space="preserve">שר </w:t>
            </w:r>
            <w:r w:rsidR="004B0B0B">
              <w:rPr>
                <w:rFonts w:hint="cs"/>
                <w:rtl/>
              </w:rPr>
              <w:t xml:space="preserve">האוצר </w:t>
            </w:r>
            <w:r w:rsidR="00FA7650">
              <w:rPr>
                <w:rFonts w:hint="cs"/>
                <w:rtl/>
              </w:rPr>
              <w:t xml:space="preserve">רשאי לקבוע הוראות </w:t>
            </w:r>
            <w:r w:rsidR="00D30735">
              <w:rPr>
                <w:rFonts w:hint="cs"/>
                <w:rtl/>
              </w:rPr>
              <w:t xml:space="preserve">לגבי הנסיבות שבהתקיימן </w:t>
            </w:r>
            <w:r w:rsidR="00AB5D4D">
              <w:rPr>
                <w:rFonts w:hint="cs"/>
                <w:rtl/>
              </w:rPr>
              <w:t xml:space="preserve">הגורם המוסמך </w:t>
            </w:r>
            <w:r w:rsidR="002338B7">
              <w:rPr>
                <w:rFonts w:hint="cs"/>
                <w:rtl/>
              </w:rPr>
              <w:t xml:space="preserve">רשאי </w:t>
            </w:r>
            <w:r w:rsidR="00AB5D4D">
              <w:rPr>
                <w:rFonts w:hint="cs"/>
                <w:rtl/>
              </w:rPr>
              <w:t>לת</w:t>
            </w:r>
            <w:r w:rsidR="002338B7">
              <w:rPr>
                <w:rFonts w:hint="cs"/>
                <w:rtl/>
              </w:rPr>
              <w:t>ת</w:t>
            </w:r>
            <w:r w:rsidR="00AB5D4D">
              <w:rPr>
                <w:rFonts w:hint="cs"/>
                <w:rtl/>
              </w:rPr>
              <w:t xml:space="preserve"> היתר </w:t>
            </w:r>
            <w:r w:rsidR="00727825">
              <w:rPr>
                <w:rFonts w:hint="cs"/>
                <w:rtl/>
              </w:rPr>
              <w:t>שהוגש עלי</w:t>
            </w:r>
            <w:r w:rsidR="002338B7">
              <w:rPr>
                <w:rFonts w:hint="cs"/>
                <w:rtl/>
              </w:rPr>
              <w:t>ו</w:t>
            </w:r>
            <w:r w:rsidR="00727825">
              <w:rPr>
                <w:rFonts w:hint="cs"/>
                <w:rtl/>
              </w:rPr>
              <w:t xml:space="preserve"> ערר </w:t>
            </w:r>
            <w:r w:rsidR="00AB5D4D">
              <w:rPr>
                <w:rFonts w:hint="cs"/>
                <w:rtl/>
              </w:rPr>
              <w:t>ואופן נתינ</w:t>
            </w:r>
            <w:r w:rsidR="002338B7">
              <w:rPr>
                <w:rFonts w:hint="cs"/>
                <w:rtl/>
              </w:rPr>
              <w:t>תו</w:t>
            </w:r>
            <w:r w:rsidR="00A6641C">
              <w:rPr>
                <w:rFonts w:hint="cs"/>
                <w:rtl/>
              </w:rPr>
              <w:t>.</w:t>
            </w:r>
            <w:r w:rsidR="00AA2401" w:rsidRPr="00AA2401">
              <w:rPr>
                <w:rFonts w:hint="cs"/>
                <w:rtl/>
              </w:rPr>
              <w:t>";</w:t>
            </w:r>
          </w:p>
        </w:tc>
      </w:tr>
      <w:tr w:rsidR="002374D5">
        <w:trPr>
          <w:cantSplit/>
          <w:trHeight w:val="60"/>
        </w:trPr>
        <w:tc>
          <w:tcPr>
            <w:tcW w:w="1871" w:type="dxa"/>
          </w:tcPr>
          <w:p w:rsidR="002374D5" w:rsidRDefault="002374D5" w:rsidP="002374D5">
            <w:pPr>
              <w:pStyle w:val="TableSideHeading"/>
            </w:pPr>
          </w:p>
        </w:tc>
        <w:tc>
          <w:tcPr>
            <w:tcW w:w="624" w:type="dxa"/>
          </w:tcPr>
          <w:p w:rsidR="002374D5" w:rsidRDefault="002374D5" w:rsidP="002374D5">
            <w:pPr>
              <w:pStyle w:val="TableText"/>
            </w:pPr>
          </w:p>
        </w:tc>
        <w:tc>
          <w:tcPr>
            <w:tcW w:w="624" w:type="dxa"/>
          </w:tcPr>
          <w:p w:rsidR="002374D5" w:rsidRDefault="00AA2401" w:rsidP="002374D5">
            <w:pPr>
              <w:pStyle w:val="TableText"/>
            </w:pPr>
            <w:r>
              <w:rPr>
                <w:rFonts w:hint="cs"/>
                <w:rtl/>
              </w:rPr>
              <w:t>(6)</w:t>
            </w:r>
          </w:p>
        </w:tc>
        <w:tc>
          <w:tcPr>
            <w:tcW w:w="6522" w:type="dxa"/>
            <w:gridSpan w:val="5"/>
          </w:tcPr>
          <w:p w:rsidR="002374D5" w:rsidRDefault="00AA2401" w:rsidP="002338B7">
            <w:pPr>
              <w:pStyle w:val="TableBlock"/>
            </w:pPr>
            <w:r>
              <w:rPr>
                <w:rFonts w:hint="cs"/>
                <w:rtl/>
              </w:rPr>
              <w:t xml:space="preserve">בסעיף 266ג, </w:t>
            </w:r>
            <w:r w:rsidR="002338B7">
              <w:rPr>
                <w:rFonts w:hint="cs"/>
                <w:rtl/>
              </w:rPr>
              <w:t>בסופו</w:t>
            </w:r>
            <w:r>
              <w:rPr>
                <w:rFonts w:hint="cs"/>
                <w:rtl/>
              </w:rPr>
              <w:t xml:space="preserve"> יבוא:</w:t>
            </w:r>
          </w:p>
        </w:tc>
      </w:tr>
      <w:tr w:rsidR="004A2020">
        <w:trPr>
          <w:cantSplit/>
          <w:trHeight w:val="60"/>
        </w:trPr>
        <w:tc>
          <w:tcPr>
            <w:tcW w:w="1871" w:type="dxa"/>
          </w:tcPr>
          <w:p w:rsidR="004A2020" w:rsidRDefault="004A2020">
            <w:pPr>
              <w:pStyle w:val="TableSideHeading"/>
            </w:pPr>
          </w:p>
        </w:tc>
        <w:tc>
          <w:tcPr>
            <w:tcW w:w="624" w:type="dxa"/>
          </w:tcPr>
          <w:p w:rsidR="004A2020" w:rsidRDefault="004A2020">
            <w:pPr>
              <w:pStyle w:val="TableText"/>
            </w:pPr>
          </w:p>
        </w:tc>
        <w:tc>
          <w:tcPr>
            <w:tcW w:w="624" w:type="dxa"/>
          </w:tcPr>
          <w:p w:rsidR="004A2020" w:rsidRDefault="004A2020">
            <w:pPr>
              <w:pStyle w:val="TableText"/>
            </w:pPr>
          </w:p>
        </w:tc>
        <w:tc>
          <w:tcPr>
            <w:tcW w:w="624" w:type="dxa"/>
          </w:tcPr>
          <w:p w:rsidR="004A2020" w:rsidRDefault="004A2020">
            <w:pPr>
              <w:pStyle w:val="TableText"/>
            </w:pPr>
          </w:p>
        </w:tc>
        <w:tc>
          <w:tcPr>
            <w:tcW w:w="5898" w:type="dxa"/>
            <w:gridSpan w:val="4"/>
          </w:tcPr>
          <w:p w:rsidR="004A2020" w:rsidRDefault="004A2020">
            <w:pPr>
              <w:pStyle w:val="TableBlock"/>
            </w:pPr>
            <w:r>
              <w:rPr>
                <w:rFonts w:hint="cs"/>
                <w:rtl/>
              </w:rPr>
              <w:t xml:space="preserve">"(ג) על אף האמור בסעיף קטן (א), </w:t>
            </w:r>
            <w:r w:rsidRPr="004A2020">
              <w:rPr>
                <w:rFonts w:hint="eastAsia"/>
                <w:rtl/>
              </w:rPr>
              <w:t>החלפת</w:t>
            </w:r>
            <w:r w:rsidRPr="004A2020">
              <w:rPr>
                <w:rtl/>
              </w:rPr>
              <w:t xml:space="preserve"> </w:t>
            </w:r>
            <w:r w:rsidRPr="004A2020">
              <w:rPr>
                <w:rFonts w:hint="eastAsia"/>
                <w:rtl/>
              </w:rPr>
              <w:t>אנטנ</w:t>
            </w:r>
            <w:r w:rsidRPr="004A2020">
              <w:rPr>
                <w:rFonts w:hint="cs"/>
                <w:rtl/>
              </w:rPr>
              <w:t>ה שהוקמה בהיתר לפי חוק זה</w:t>
            </w:r>
            <w:r w:rsidRPr="004A2020">
              <w:rPr>
                <w:rtl/>
              </w:rPr>
              <w:t xml:space="preserve">, </w:t>
            </w:r>
            <w:r w:rsidRPr="004A2020">
              <w:rPr>
                <w:rFonts w:hint="eastAsia"/>
                <w:rtl/>
              </w:rPr>
              <w:t>לרבות</w:t>
            </w:r>
            <w:r w:rsidRPr="004A2020">
              <w:rPr>
                <w:rtl/>
              </w:rPr>
              <w:t xml:space="preserve"> </w:t>
            </w:r>
            <w:r w:rsidRPr="004A2020">
              <w:rPr>
                <w:rFonts w:hint="eastAsia"/>
                <w:rtl/>
              </w:rPr>
              <w:t>חיזוק</w:t>
            </w:r>
            <w:r w:rsidRPr="004A2020">
              <w:rPr>
                <w:rtl/>
              </w:rPr>
              <w:t xml:space="preserve"> </w:t>
            </w:r>
            <w:r w:rsidRPr="004A2020">
              <w:rPr>
                <w:rFonts w:hint="eastAsia"/>
                <w:rtl/>
              </w:rPr>
              <w:t>והחלפת</w:t>
            </w:r>
            <w:r w:rsidRPr="004A2020">
              <w:rPr>
                <w:rtl/>
              </w:rPr>
              <w:t xml:space="preserve"> </w:t>
            </w:r>
            <w:r w:rsidRPr="004A2020">
              <w:rPr>
                <w:rFonts w:hint="eastAsia"/>
                <w:rtl/>
              </w:rPr>
              <w:t>תרנים</w:t>
            </w:r>
            <w:r w:rsidRPr="004A2020">
              <w:rPr>
                <w:rFonts w:hint="cs"/>
                <w:rtl/>
              </w:rPr>
              <w:t xml:space="preserve"> והעבודות הנדרשות לכך, פטורה מהיתר, אם מתקיימים לגביה כל אלה:</w:t>
            </w:r>
          </w:p>
        </w:tc>
      </w:tr>
      <w:tr w:rsidR="004A2020">
        <w:trPr>
          <w:cantSplit/>
          <w:trHeight w:val="60"/>
        </w:trPr>
        <w:tc>
          <w:tcPr>
            <w:tcW w:w="1871" w:type="dxa"/>
          </w:tcPr>
          <w:p w:rsidR="004A2020" w:rsidRDefault="004A2020">
            <w:pPr>
              <w:pStyle w:val="TableSideHeading"/>
            </w:pPr>
          </w:p>
        </w:tc>
        <w:tc>
          <w:tcPr>
            <w:tcW w:w="624" w:type="dxa"/>
          </w:tcPr>
          <w:p w:rsidR="004A2020" w:rsidRDefault="004A2020">
            <w:pPr>
              <w:pStyle w:val="TableText"/>
            </w:pPr>
          </w:p>
        </w:tc>
        <w:tc>
          <w:tcPr>
            <w:tcW w:w="624" w:type="dxa"/>
          </w:tcPr>
          <w:p w:rsidR="004A2020" w:rsidRDefault="004A2020">
            <w:pPr>
              <w:pStyle w:val="TableText"/>
            </w:pPr>
          </w:p>
        </w:tc>
        <w:tc>
          <w:tcPr>
            <w:tcW w:w="624" w:type="dxa"/>
          </w:tcPr>
          <w:p w:rsidR="004A2020" w:rsidRDefault="004A2020">
            <w:pPr>
              <w:pStyle w:val="TableText"/>
            </w:pPr>
          </w:p>
        </w:tc>
        <w:tc>
          <w:tcPr>
            <w:tcW w:w="624" w:type="dxa"/>
          </w:tcPr>
          <w:p w:rsidR="004A2020" w:rsidRDefault="004A2020" w:rsidP="00A6641C">
            <w:pPr>
              <w:pStyle w:val="TableText"/>
              <w:numPr>
                <w:ilvl w:val="0"/>
                <w:numId w:val="13"/>
              </w:numPr>
              <w:tabs>
                <w:tab w:val="left" w:pos="624"/>
              </w:tabs>
              <w:ind w:right="0"/>
              <w:jc w:val="both"/>
            </w:pPr>
          </w:p>
        </w:tc>
        <w:tc>
          <w:tcPr>
            <w:tcW w:w="5274" w:type="dxa"/>
            <w:gridSpan w:val="3"/>
          </w:tcPr>
          <w:p w:rsidR="004A2020" w:rsidRDefault="004A2020">
            <w:pPr>
              <w:pStyle w:val="TableBlock"/>
            </w:pPr>
            <w:r w:rsidRPr="00DB53A2">
              <w:rPr>
                <w:rFonts w:hint="cs"/>
                <w:rtl/>
              </w:rPr>
              <w:t xml:space="preserve">היא מבוצעת בידי </w:t>
            </w:r>
            <w:r w:rsidRPr="00DB53A2">
              <w:rPr>
                <w:rFonts w:hint="eastAsia"/>
                <w:rtl/>
              </w:rPr>
              <w:t>בעל</w:t>
            </w:r>
            <w:r w:rsidRPr="00DB53A2">
              <w:rPr>
                <w:rtl/>
              </w:rPr>
              <w:t xml:space="preserve"> </w:t>
            </w:r>
            <w:r w:rsidRPr="00DB53A2">
              <w:rPr>
                <w:rFonts w:hint="eastAsia"/>
                <w:rtl/>
              </w:rPr>
              <w:t>רישיון</w:t>
            </w:r>
            <w:r w:rsidRPr="00DB53A2">
              <w:rPr>
                <w:rtl/>
              </w:rPr>
              <w:t xml:space="preserve"> </w:t>
            </w:r>
            <w:r w:rsidRPr="00DB53A2">
              <w:rPr>
                <w:rFonts w:hint="cs"/>
                <w:rtl/>
              </w:rPr>
              <w:t xml:space="preserve">כללי </w:t>
            </w:r>
            <w:r w:rsidRPr="00DB53A2">
              <w:rPr>
                <w:rFonts w:hint="eastAsia"/>
                <w:rtl/>
              </w:rPr>
              <w:t>למתן</w:t>
            </w:r>
            <w:r w:rsidRPr="00DB53A2">
              <w:rPr>
                <w:rtl/>
              </w:rPr>
              <w:t xml:space="preserve"> שירותי </w:t>
            </w:r>
            <w:r w:rsidRPr="00DB53A2">
              <w:rPr>
                <w:rFonts w:hint="eastAsia"/>
                <w:rtl/>
              </w:rPr>
              <w:t>רדיו</w:t>
            </w:r>
            <w:r w:rsidRPr="00DB53A2">
              <w:rPr>
                <w:rtl/>
              </w:rPr>
              <w:t xml:space="preserve"> </w:t>
            </w:r>
            <w:r w:rsidRPr="00DB53A2">
              <w:rPr>
                <w:rFonts w:hint="eastAsia"/>
                <w:rtl/>
              </w:rPr>
              <w:t>טלפון</w:t>
            </w:r>
            <w:r w:rsidRPr="00DB53A2">
              <w:rPr>
                <w:rtl/>
              </w:rPr>
              <w:t xml:space="preserve"> </w:t>
            </w:r>
            <w:r w:rsidRPr="00DB53A2">
              <w:rPr>
                <w:rFonts w:hint="eastAsia"/>
                <w:rtl/>
              </w:rPr>
              <w:t>נייד</w:t>
            </w:r>
            <w:r w:rsidRPr="00DB53A2">
              <w:rPr>
                <w:rtl/>
              </w:rPr>
              <w:t xml:space="preserve"> </w:t>
            </w:r>
            <w:r w:rsidRPr="00DB53A2">
              <w:rPr>
                <w:rFonts w:hint="eastAsia"/>
                <w:rtl/>
              </w:rPr>
              <w:t>בשיטה</w:t>
            </w:r>
            <w:r w:rsidRPr="00DB53A2">
              <w:rPr>
                <w:rtl/>
              </w:rPr>
              <w:t xml:space="preserve"> </w:t>
            </w:r>
            <w:r w:rsidRPr="00DB53A2">
              <w:rPr>
                <w:rFonts w:hint="eastAsia"/>
                <w:rtl/>
              </w:rPr>
              <w:t>התאית</w:t>
            </w:r>
            <w:r w:rsidRPr="00DB53A2">
              <w:rPr>
                <w:rtl/>
              </w:rPr>
              <w:t>,</w:t>
            </w:r>
            <w:r w:rsidRPr="00DB53A2">
              <w:rPr>
                <w:rFonts w:hint="cs"/>
                <w:rtl/>
              </w:rPr>
              <w:t xml:space="preserve"> לאחר שקיבל מהגורם המוסמך לפי פקודת הטלגרף האלחוטי [נוסח חדש], תשל"ב-1972, הוראה בדבר עריכת שינוי בתדרים שהוקצו לו</w:t>
            </w:r>
            <w:r w:rsidR="00DB53A2" w:rsidRPr="00DB53A2">
              <w:rPr>
                <w:rFonts w:hint="cs"/>
                <w:rtl/>
              </w:rPr>
              <w:t>;</w:t>
            </w:r>
          </w:p>
        </w:tc>
      </w:tr>
      <w:tr w:rsidR="004A2020">
        <w:trPr>
          <w:cantSplit/>
          <w:trHeight w:val="60"/>
        </w:trPr>
        <w:tc>
          <w:tcPr>
            <w:tcW w:w="1871" w:type="dxa"/>
          </w:tcPr>
          <w:p w:rsidR="004A2020" w:rsidRDefault="004A2020">
            <w:pPr>
              <w:pStyle w:val="TableSideHeading"/>
            </w:pPr>
          </w:p>
        </w:tc>
        <w:tc>
          <w:tcPr>
            <w:tcW w:w="624" w:type="dxa"/>
          </w:tcPr>
          <w:p w:rsidR="004A2020" w:rsidRDefault="004A2020" w:rsidP="004A2020">
            <w:pPr>
              <w:pStyle w:val="TableText"/>
            </w:pPr>
          </w:p>
        </w:tc>
        <w:tc>
          <w:tcPr>
            <w:tcW w:w="624" w:type="dxa"/>
          </w:tcPr>
          <w:p w:rsidR="004A2020" w:rsidRDefault="004A2020">
            <w:pPr>
              <w:pStyle w:val="TableText"/>
            </w:pPr>
          </w:p>
        </w:tc>
        <w:tc>
          <w:tcPr>
            <w:tcW w:w="624" w:type="dxa"/>
          </w:tcPr>
          <w:p w:rsidR="004A2020" w:rsidRDefault="004A2020">
            <w:pPr>
              <w:pStyle w:val="TableText"/>
            </w:pPr>
          </w:p>
        </w:tc>
        <w:tc>
          <w:tcPr>
            <w:tcW w:w="624" w:type="dxa"/>
          </w:tcPr>
          <w:p w:rsidR="004A2020" w:rsidRDefault="004A2020" w:rsidP="00A6641C">
            <w:pPr>
              <w:pStyle w:val="TableText"/>
              <w:numPr>
                <w:ilvl w:val="0"/>
                <w:numId w:val="13"/>
              </w:numPr>
              <w:tabs>
                <w:tab w:val="left" w:pos="624"/>
              </w:tabs>
              <w:ind w:right="0"/>
              <w:jc w:val="both"/>
            </w:pPr>
          </w:p>
        </w:tc>
        <w:tc>
          <w:tcPr>
            <w:tcW w:w="5274" w:type="dxa"/>
            <w:gridSpan w:val="3"/>
          </w:tcPr>
          <w:p w:rsidR="004A2020" w:rsidRDefault="004A2020" w:rsidP="004A2020">
            <w:pPr>
              <w:pStyle w:val="TableBlock"/>
              <w:rPr>
                <w:rtl/>
              </w:rPr>
            </w:pPr>
            <w:r w:rsidRPr="00DB53A2">
              <w:rPr>
                <w:rFonts w:hint="cs"/>
                <w:rtl/>
              </w:rPr>
              <w:t>היא לא יוצרת עליה בטווחי הבטיחות שאושרו למיתקן הקיים</w:t>
            </w:r>
            <w:r w:rsidR="00DB53A2" w:rsidRPr="00DB53A2">
              <w:rPr>
                <w:rFonts w:hint="cs"/>
                <w:rtl/>
              </w:rPr>
              <w:t>;</w:t>
            </w:r>
          </w:p>
        </w:tc>
      </w:tr>
      <w:tr w:rsidR="00DB53A2">
        <w:trPr>
          <w:cantSplit/>
          <w:trHeight w:val="60"/>
        </w:trPr>
        <w:tc>
          <w:tcPr>
            <w:tcW w:w="1871" w:type="dxa"/>
          </w:tcPr>
          <w:p w:rsidR="00DB53A2" w:rsidRDefault="00DB53A2">
            <w:pPr>
              <w:pStyle w:val="TableSideHeading"/>
            </w:pPr>
          </w:p>
        </w:tc>
        <w:tc>
          <w:tcPr>
            <w:tcW w:w="624" w:type="dxa"/>
          </w:tcPr>
          <w:p w:rsidR="00DB53A2" w:rsidRDefault="00DB53A2" w:rsidP="00DB53A2">
            <w:pPr>
              <w:pStyle w:val="TableText"/>
            </w:pPr>
          </w:p>
        </w:tc>
        <w:tc>
          <w:tcPr>
            <w:tcW w:w="624" w:type="dxa"/>
          </w:tcPr>
          <w:p w:rsidR="00DB53A2" w:rsidRDefault="00DB53A2">
            <w:pPr>
              <w:pStyle w:val="TableText"/>
            </w:pPr>
          </w:p>
        </w:tc>
        <w:tc>
          <w:tcPr>
            <w:tcW w:w="624" w:type="dxa"/>
          </w:tcPr>
          <w:p w:rsidR="00DB53A2" w:rsidRDefault="00DB53A2">
            <w:pPr>
              <w:pStyle w:val="TableText"/>
            </w:pPr>
          </w:p>
        </w:tc>
        <w:tc>
          <w:tcPr>
            <w:tcW w:w="624" w:type="dxa"/>
          </w:tcPr>
          <w:p w:rsidR="00DB53A2" w:rsidRDefault="00DB53A2" w:rsidP="00A6641C">
            <w:pPr>
              <w:pStyle w:val="TableText"/>
              <w:numPr>
                <w:ilvl w:val="0"/>
                <w:numId w:val="13"/>
              </w:numPr>
              <w:tabs>
                <w:tab w:val="left" w:pos="624"/>
              </w:tabs>
              <w:ind w:right="0"/>
              <w:jc w:val="both"/>
            </w:pPr>
          </w:p>
        </w:tc>
        <w:tc>
          <w:tcPr>
            <w:tcW w:w="5274" w:type="dxa"/>
            <w:gridSpan w:val="3"/>
          </w:tcPr>
          <w:p w:rsidR="00DB53A2" w:rsidRPr="00DB53A2" w:rsidRDefault="000A2DBB" w:rsidP="002778AD">
            <w:pPr>
              <w:pStyle w:val="TableBlock"/>
              <w:rPr>
                <w:rtl/>
              </w:rPr>
            </w:pPr>
            <w:r>
              <w:rPr>
                <w:rFonts w:hint="cs"/>
                <w:rtl/>
              </w:rPr>
              <w:t xml:space="preserve">גובהו של התורן שהוחלף או חוזק לא יעלה על השטח שנקבע בהיתר שניתן להקמת המתקן; לעניין זה, לא יראו הוספה של רכיבים המחוברים לתורן ונועדו לשם חיזוקו </w:t>
            </w:r>
            <w:r w:rsidR="002778AD">
              <w:rPr>
                <w:rFonts w:hint="cs"/>
                <w:rtl/>
              </w:rPr>
              <w:t xml:space="preserve">בלבד </w:t>
            </w:r>
            <w:r>
              <w:rPr>
                <w:rFonts w:hint="cs"/>
                <w:rtl/>
              </w:rPr>
              <w:t>כהגדלת שטח המתקן</w:t>
            </w:r>
            <w:r w:rsidR="00DB53A2" w:rsidRPr="00DB53A2">
              <w:rPr>
                <w:rFonts w:hint="cs"/>
                <w:rtl/>
              </w:rPr>
              <w:t>;</w:t>
            </w:r>
          </w:p>
        </w:tc>
      </w:tr>
      <w:tr w:rsidR="00DB53A2">
        <w:trPr>
          <w:cantSplit/>
          <w:trHeight w:val="60"/>
        </w:trPr>
        <w:tc>
          <w:tcPr>
            <w:tcW w:w="1871" w:type="dxa"/>
          </w:tcPr>
          <w:p w:rsidR="00DB53A2" w:rsidRDefault="00DB53A2">
            <w:pPr>
              <w:pStyle w:val="TableSideHeading"/>
            </w:pPr>
          </w:p>
        </w:tc>
        <w:tc>
          <w:tcPr>
            <w:tcW w:w="624" w:type="dxa"/>
          </w:tcPr>
          <w:p w:rsidR="00DB53A2" w:rsidRDefault="00DB53A2" w:rsidP="00DB53A2">
            <w:pPr>
              <w:pStyle w:val="TableText"/>
            </w:pPr>
          </w:p>
        </w:tc>
        <w:tc>
          <w:tcPr>
            <w:tcW w:w="624" w:type="dxa"/>
          </w:tcPr>
          <w:p w:rsidR="00DB53A2" w:rsidRDefault="00DB53A2">
            <w:pPr>
              <w:pStyle w:val="TableText"/>
            </w:pPr>
          </w:p>
        </w:tc>
        <w:tc>
          <w:tcPr>
            <w:tcW w:w="624" w:type="dxa"/>
          </w:tcPr>
          <w:p w:rsidR="00DB53A2" w:rsidRDefault="00DB53A2">
            <w:pPr>
              <w:pStyle w:val="TableText"/>
            </w:pPr>
          </w:p>
        </w:tc>
        <w:tc>
          <w:tcPr>
            <w:tcW w:w="624" w:type="dxa"/>
          </w:tcPr>
          <w:p w:rsidR="00DB53A2" w:rsidRDefault="00DB53A2" w:rsidP="00A6641C">
            <w:pPr>
              <w:pStyle w:val="TableText"/>
              <w:numPr>
                <w:ilvl w:val="0"/>
                <w:numId w:val="13"/>
              </w:numPr>
              <w:tabs>
                <w:tab w:val="left" w:pos="624"/>
              </w:tabs>
              <w:ind w:right="0"/>
              <w:jc w:val="both"/>
            </w:pPr>
          </w:p>
        </w:tc>
        <w:tc>
          <w:tcPr>
            <w:tcW w:w="5274" w:type="dxa"/>
            <w:gridSpan w:val="3"/>
          </w:tcPr>
          <w:p w:rsidR="00DB53A2" w:rsidRPr="00DB53A2" w:rsidRDefault="003C40FC" w:rsidP="00EF4B60">
            <w:pPr>
              <w:pStyle w:val="TableBlock"/>
              <w:rPr>
                <w:rtl/>
              </w:rPr>
            </w:pPr>
            <w:r>
              <w:rPr>
                <w:rFonts w:hint="cs"/>
                <w:rtl/>
              </w:rPr>
              <w:t xml:space="preserve">נקודת החיבור של </w:t>
            </w:r>
            <w:r w:rsidR="00EF4B60">
              <w:rPr>
                <w:rFonts w:hint="cs"/>
                <w:rtl/>
              </w:rPr>
              <w:t>ה</w:t>
            </w:r>
            <w:r>
              <w:rPr>
                <w:rFonts w:hint="cs"/>
                <w:rtl/>
              </w:rPr>
              <w:t xml:space="preserve">תורן </w:t>
            </w:r>
            <w:r w:rsidR="00EF4B60">
              <w:rPr>
                <w:rFonts w:hint="cs"/>
                <w:rtl/>
              </w:rPr>
              <w:t xml:space="preserve">עם </w:t>
            </w:r>
            <w:r>
              <w:rPr>
                <w:rFonts w:hint="cs"/>
                <w:rtl/>
              </w:rPr>
              <w:t xml:space="preserve">אלכסון שנועד לחיזוק התורן </w:t>
            </w:r>
            <w:r w:rsidR="00EF4B60">
              <w:rPr>
                <w:rFonts w:hint="cs"/>
                <w:rtl/>
              </w:rPr>
              <w:t>לא תעלה על שליש מגובהו של התורן או שישה מטרים, הנמוך מביניהם;</w:t>
            </w:r>
            <w:r>
              <w:rPr>
                <w:rFonts w:hint="cs"/>
                <w:rtl/>
              </w:rPr>
              <w:t xml:space="preserve"> </w:t>
            </w:r>
          </w:p>
        </w:tc>
      </w:tr>
      <w:tr w:rsidR="00EF4B60">
        <w:trPr>
          <w:cantSplit/>
          <w:trHeight w:val="60"/>
        </w:trPr>
        <w:tc>
          <w:tcPr>
            <w:tcW w:w="1871" w:type="dxa"/>
          </w:tcPr>
          <w:p w:rsidR="00EF4B60" w:rsidRDefault="00EF4B60">
            <w:pPr>
              <w:pStyle w:val="TableSideHeading"/>
            </w:pPr>
          </w:p>
        </w:tc>
        <w:tc>
          <w:tcPr>
            <w:tcW w:w="624" w:type="dxa"/>
          </w:tcPr>
          <w:p w:rsidR="00EF4B60" w:rsidRDefault="00EF4B60" w:rsidP="00EF4B60">
            <w:pPr>
              <w:pStyle w:val="TableText"/>
            </w:pPr>
          </w:p>
        </w:tc>
        <w:tc>
          <w:tcPr>
            <w:tcW w:w="624" w:type="dxa"/>
          </w:tcPr>
          <w:p w:rsidR="00EF4B60" w:rsidRDefault="00EF4B60">
            <w:pPr>
              <w:pStyle w:val="TableText"/>
            </w:pPr>
          </w:p>
        </w:tc>
        <w:tc>
          <w:tcPr>
            <w:tcW w:w="624" w:type="dxa"/>
          </w:tcPr>
          <w:p w:rsidR="00EF4B60" w:rsidRDefault="00EF4B60">
            <w:pPr>
              <w:pStyle w:val="TableText"/>
            </w:pPr>
          </w:p>
        </w:tc>
        <w:tc>
          <w:tcPr>
            <w:tcW w:w="624" w:type="dxa"/>
          </w:tcPr>
          <w:p w:rsidR="00EF4B60" w:rsidRDefault="00EF4B60" w:rsidP="00A6641C">
            <w:pPr>
              <w:pStyle w:val="TableText"/>
              <w:numPr>
                <w:ilvl w:val="0"/>
                <w:numId w:val="13"/>
              </w:numPr>
              <w:tabs>
                <w:tab w:val="left" w:pos="624"/>
              </w:tabs>
              <w:ind w:right="0"/>
              <w:jc w:val="both"/>
            </w:pPr>
          </w:p>
        </w:tc>
        <w:tc>
          <w:tcPr>
            <w:tcW w:w="5274" w:type="dxa"/>
            <w:gridSpan w:val="3"/>
          </w:tcPr>
          <w:p w:rsidR="00EF4B60" w:rsidRPr="00DB53A2" w:rsidRDefault="00EF4B60" w:rsidP="00EF4B60">
            <w:pPr>
              <w:pStyle w:val="TableBlock"/>
              <w:rPr>
                <w:rtl/>
              </w:rPr>
            </w:pPr>
            <w:r>
              <w:rPr>
                <w:rFonts w:hint="cs"/>
                <w:rtl/>
              </w:rPr>
              <w:t>יציקת בטון שנועדה לחיזוק תורן קרקעי לא תחרוג משטח האתר המגודר, וגובהה לא יעלה על 150 סנטימטר</w:t>
            </w:r>
            <w:r w:rsidR="00C820F1">
              <w:rPr>
                <w:rFonts w:hint="cs"/>
                <w:rtl/>
              </w:rPr>
              <w:t>;</w:t>
            </w:r>
          </w:p>
        </w:tc>
      </w:tr>
      <w:tr w:rsidR="00583337">
        <w:trPr>
          <w:cantSplit/>
          <w:trHeight w:val="60"/>
        </w:trPr>
        <w:tc>
          <w:tcPr>
            <w:tcW w:w="1871" w:type="dxa"/>
          </w:tcPr>
          <w:p w:rsidR="00583337" w:rsidRDefault="00583337">
            <w:pPr>
              <w:pStyle w:val="TableSideHeading"/>
            </w:pPr>
          </w:p>
        </w:tc>
        <w:tc>
          <w:tcPr>
            <w:tcW w:w="624" w:type="dxa"/>
          </w:tcPr>
          <w:p w:rsidR="00583337" w:rsidRDefault="00583337" w:rsidP="00583337">
            <w:pPr>
              <w:pStyle w:val="TableText"/>
            </w:pPr>
          </w:p>
        </w:tc>
        <w:tc>
          <w:tcPr>
            <w:tcW w:w="624" w:type="dxa"/>
          </w:tcPr>
          <w:p w:rsidR="00583337" w:rsidRDefault="00583337">
            <w:pPr>
              <w:pStyle w:val="TableText"/>
            </w:pPr>
          </w:p>
        </w:tc>
        <w:tc>
          <w:tcPr>
            <w:tcW w:w="624" w:type="dxa"/>
          </w:tcPr>
          <w:p w:rsidR="00583337" w:rsidRDefault="00583337">
            <w:pPr>
              <w:pStyle w:val="TableText"/>
            </w:pPr>
          </w:p>
        </w:tc>
        <w:tc>
          <w:tcPr>
            <w:tcW w:w="624" w:type="dxa"/>
          </w:tcPr>
          <w:p w:rsidR="00583337" w:rsidRDefault="00583337" w:rsidP="00A6641C">
            <w:pPr>
              <w:pStyle w:val="TableText"/>
              <w:numPr>
                <w:ilvl w:val="0"/>
                <w:numId w:val="13"/>
              </w:numPr>
              <w:tabs>
                <w:tab w:val="left" w:pos="624"/>
              </w:tabs>
              <w:ind w:right="0"/>
              <w:jc w:val="both"/>
            </w:pPr>
          </w:p>
        </w:tc>
        <w:tc>
          <w:tcPr>
            <w:tcW w:w="5274" w:type="dxa"/>
            <w:gridSpan w:val="3"/>
          </w:tcPr>
          <w:p w:rsidR="00583337" w:rsidRPr="00DB53A2" w:rsidRDefault="00C820F1" w:rsidP="00001026">
            <w:pPr>
              <w:pStyle w:val="TableBlock"/>
              <w:rPr>
                <w:rtl/>
              </w:rPr>
            </w:pPr>
            <w:r>
              <w:rPr>
                <w:rFonts w:hint="cs"/>
                <w:rtl/>
              </w:rPr>
              <w:t xml:space="preserve">הנחיות מרחביות </w:t>
            </w:r>
            <w:r w:rsidR="003C40FC">
              <w:rPr>
                <w:rFonts w:hint="cs"/>
                <w:rtl/>
              </w:rPr>
              <w:t xml:space="preserve">עיצוביות שנכללו בהיתר שניתן לתורן הקיים, יחולו גם לאחר </w:t>
            </w:r>
            <w:r>
              <w:rPr>
                <w:rFonts w:hint="cs"/>
                <w:rtl/>
              </w:rPr>
              <w:t>ההחלפה;</w:t>
            </w:r>
          </w:p>
        </w:tc>
      </w:tr>
      <w:tr w:rsidR="000A2DBB">
        <w:trPr>
          <w:cantSplit/>
          <w:trHeight w:val="60"/>
        </w:trPr>
        <w:tc>
          <w:tcPr>
            <w:tcW w:w="1871" w:type="dxa"/>
          </w:tcPr>
          <w:p w:rsidR="000A2DBB" w:rsidRDefault="000A2DBB">
            <w:pPr>
              <w:pStyle w:val="TableSideHeading"/>
            </w:pPr>
          </w:p>
        </w:tc>
        <w:tc>
          <w:tcPr>
            <w:tcW w:w="624" w:type="dxa"/>
          </w:tcPr>
          <w:p w:rsidR="000A2DBB" w:rsidRDefault="000A2DBB" w:rsidP="000A2DBB">
            <w:pPr>
              <w:pStyle w:val="TableText"/>
            </w:pPr>
          </w:p>
        </w:tc>
        <w:tc>
          <w:tcPr>
            <w:tcW w:w="624" w:type="dxa"/>
          </w:tcPr>
          <w:p w:rsidR="000A2DBB" w:rsidRDefault="000A2DBB">
            <w:pPr>
              <w:pStyle w:val="TableText"/>
            </w:pPr>
          </w:p>
        </w:tc>
        <w:tc>
          <w:tcPr>
            <w:tcW w:w="624" w:type="dxa"/>
          </w:tcPr>
          <w:p w:rsidR="000A2DBB" w:rsidRDefault="000A2DBB">
            <w:pPr>
              <w:pStyle w:val="TableText"/>
            </w:pPr>
          </w:p>
        </w:tc>
        <w:tc>
          <w:tcPr>
            <w:tcW w:w="624" w:type="dxa"/>
          </w:tcPr>
          <w:p w:rsidR="000A2DBB" w:rsidRDefault="000A2DBB" w:rsidP="00A6641C">
            <w:pPr>
              <w:pStyle w:val="TableText"/>
              <w:numPr>
                <w:ilvl w:val="0"/>
                <w:numId w:val="13"/>
              </w:numPr>
              <w:tabs>
                <w:tab w:val="left" w:pos="624"/>
              </w:tabs>
              <w:ind w:right="0"/>
              <w:jc w:val="both"/>
            </w:pPr>
          </w:p>
        </w:tc>
        <w:tc>
          <w:tcPr>
            <w:tcW w:w="5274" w:type="dxa"/>
            <w:gridSpan w:val="3"/>
          </w:tcPr>
          <w:p w:rsidR="000A2DBB" w:rsidRPr="00DB53A2" w:rsidRDefault="000A2DBB" w:rsidP="00001026">
            <w:pPr>
              <w:pStyle w:val="TableBlock"/>
              <w:rPr>
                <w:rtl/>
              </w:rPr>
            </w:pPr>
            <w:r w:rsidRPr="00B2007C">
              <w:rPr>
                <w:rFonts w:hint="cs"/>
                <w:rtl/>
              </w:rPr>
              <w:t xml:space="preserve">הודעה על ביצוע עבודה לפי סעיף זה תימסר לרשות הרישוי בתוך 45 ימים ממועד ביצועה ויצורף לה אישור הממונה על הקרינה; כללה העבודה חיזוק או החלפה של תורן שגובהו עולה על </w:t>
            </w:r>
            <w:r w:rsidR="002778AD" w:rsidRPr="00B2007C">
              <w:rPr>
                <w:rFonts w:hint="cs"/>
                <w:rtl/>
              </w:rPr>
              <w:t>3</w:t>
            </w:r>
            <w:r w:rsidRPr="00B2007C">
              <w:rPr>
                <w:rFonts w:hint="cs"/>
                <w:rtl/>
              </w:rPr>
              <w:t xml:space="preserve"> מטרים, יצורף להודעה אישור מהנדס מבנים </w:t>
            </w:r>
            <w:r w:rsidR="00334F11">
              <w:rPr>
                <w:rFonts w:hint="cs"/>
                <w:rtl/>
              </w:rPr>
              <w:t>נוסף</w:t>
            </w:r>
            <w:r w:rsidR="00583337">
              <w:rPr>
                <w:rFonts w:hint="cs"/>
                <w:rtl/>
              </w:rPr>
              <w:t xml:space="preserve"> </w:t>
            </w:r>
            <w:r w:rsidRPr="00B2007C">
              <w:rPr>
                <w:rFonts w:hint="cs"/>
                <w:rtl/>
              </w:rPr>
              <w:t>בדבר עיגון התורן ויציבותו וכן כי כשל בשלד התורן</w:t>
            </w:r>
            <w:r w:rsidRPr="00B2007C">
              <w:rPr>
                <w:rtl/>
              </w:rPr>
              <w:t xml:space="preserve"> לא יתרחש בנקודת העיגון למבנה ולא יגרום לכשל</w:t>
            </w:r>
            <w:r w:rsidRPr="00B2007C">
              <w:rPr>
                <w:rFonts w:hint="cs"/>
                <w:rtl/>
              </w:rPr>
              <w:t xml:space="preserve"> בשלד ה</w:t>
            </w:r>
            <w:r w:rsidRPr="00B2007C">
              <w:rPr>
                <w:rtl/>
              </w:rPr>
              <w:t>מבנה</w:t>
            </w:r>
            <w:r w:rsidR="00C820F1">
              <w:rPr>
                <w:rFonts w:hint="cs"/>
                <w:rtl/>
              </w:rPr>
              <w:t>."</w:t>
            </w:r>
            <w:r w:rsidRPr="00B2007C">
              <w:rPr>
                <w:rFonts w:hint="cs"/>
                <w:rtl/>
              </w:rPr>
              <w:t>.</w:t>
            </w:r>
          </w:p>
        </w:tc>
      </w:tr>
    </w:tbl>
    <w:p w:rsidR="008B56A1" w:rsidRDefault="008B56A1">
      <w:pPr>
        <w:rPr>
          <w:rFonts w:ascii="Arial" w:eastAsia="Arial Unicode MS" w:hAnsi="Arial" w:cs="David"/>
          <w:b/>
          <w:bCs/>
          <w:snapToGrid w:val="0"/>
          <w:spacing w:val="0"/>
          <w:sz w:val="20"/>
          <w:szCs w:val="26"/>
          <w:rtl/>
        </w:rPr>
      </w:pPr>
    </w:p>
    <w:sectPr w:rsidR="008B56A1" w:rsidSect="008B56A1">
      <w:footerReference w:type="even" r:id="rId11"/>
      <w:footerReference w:type="default" r:id="rId12"/>
      <w:pgSz w:w="11907" w:h="16840" w:code="9"/>
      <w:pgMar w:top="963" w:right="1134" w:bottom="1134" w:left="1134" w:header="568"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4D" w:rsidRDefault="00D7664D">
      <w:r>
        <w:separator/>
      </w:r>
    </w:p>
  </w:endnote>
  <w:endnote w:type="continuationSeparator" w:id="0">
    <w:p w:rsidR="00D7664D" w:rsidRDefault="00D7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A1" w:rsidRDefault="008B56A1" w:rsidP="0052099B">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8B56A1" w:rsidRDefault="008B56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A1" w:rsidRPr="008B56A1" w:rsidRDefault="008B56A1" w:rsidP="0052099B">
    <w:pPr>
      <w:pStyle w:val="a8"/>
      <w:framePr w:wrap="around" w:vAnchor="text" w:hAnchor="text" w:xAlign="center" w:y="1"/>
      <w:rPr>
        <w:rStyle w:val="a9"/>
        <w:rFonts w:cs="David"/>
        <w:sz w:val="26"/>
        <w:szCs w:val="26"/>
      </w:rPr>
    </w:pPr>
    <w:r w:rsidRPr="008B56A1">
      <w:rPr>
        <w:rStyle w:val="a9"/>
        <w:rFonts w:cs="David"/>
        <w:sz w:val="26"/>
        <w:szCs w:val="26"/>
        <w:rtl/>
      </w:rPr>
      <w:fldChar w:fldCharType="begin"/>
    </w:r>
    <w:r w:rsidRPr="008B56A1">
      <w:rPr>
        <w:rStyle w:val="a9"/>
        <w:rFonts w:cs="David"/>
        <w:sz w:val="26"/>
        <w:szCs w:val="26"/>
      </w:rPr>
      <w:instrText xml:space="preserve">PAGE  </w:instrText>
    </w:r>
    <w:r w:rsidRPr="008B56A1">
      <w:rPr>
        <w:rStyle w:val="a9"/>
        <w:rFonts w:cs="David"/>
        <w:sz w:val="26"/>
        <w:szCs w:val="26"/>
        <w:rtl/>
      </w:rPr>
      <w:fldChar w:fldCharType="separate"/>
    </w:r>
    <w:r w:rsidR="0040587D">
      <w:rPr>
        <w:rStyle w:val="a9"/>
        <w:rFonts w:cs="David"/>
        <w:noProof/>
        <w:sz w:val="26"/>
        <w:szCs w:val="26"/>
        <w:rtl/>
      </w:rPr>
      <w:t>1</w:t>
    </w:r>
    <w:r w:rsidRPr="008B56A1">
      <w:rPr>
        <w:rStyle w:val="a9"/>
        <w:rFonts w:cs="David"/>
        <w:sz w:val="26"/>
        <w:szCs w:val="26"/>
        <w:rtl/>
      </w:rPr>
      <w:fldChar w:fldCharType="end"/>
    </w:r>
  </w:p>
  <w:p w:rsidR="008B56A1" w:rsidRDefault="008B56A1" w:rsidP="008B56A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4D" w:rsidRDefault="00D7664D">
      <w:pPr>
        <w:ind w:firstLine="0"/>
      </w:pPr>
      <w:r>
        <w:separator/>
      </w:r>
    </w:p>
  </w:footnote>
  <w:footnote w:type="continuationSeparator" w:id="0">
    <w:p w:rsidR="00D7664D" w:rsidRDefault="00D7664D">
      <w:r>
        <w:continuationSeparator/>
      </w:r>
    </w:p>
  </w:footnote>
  <w:footnote w:type="continuationNotice" w:id="1">
    <w:p w:rsidR="00D7664D" w:rsidRDefault="00D766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12052"/>
    <w:multiLevelType w:val="hybridMultilevel"/>
    <w:tmpl w:val="50A41B3E"/>
    <w:lvl w:ilvl="0" w:tplc="079EAF88">
      <w:start w:val="1"/>
      <w:numFmt w:val="hebrew1"/>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E4666EE"/>
    <w:multiLevelType w:val="hybridMultilevel"/>
    <w:tmpl w:val="032AAE40"/>
    <w:lvl w:ilvl="0" w:tplc="ABC8C38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3095A"/>
    <w:multiLevelType w:val="hybridMultilevel"/>
    <w:tmpl w:val="D90C4874"/>
    <w:lvl w:ilvl="0" w:tplc="1F5A251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34073"/>
    <w:multiLevelType w:val="hybridMultilevel"/>
    <w:tmpl w:val="7C345E7A"/>
    <w:lvl w:ilvl="0" w:tplc="AD900740">
      <w:start w:val="1"/>
      <w:numFmt w:val="hebrew1"/>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854AF"/>
    <w:multiLevelType w:val="hybridMultilevel"/>
    <w:tmpl w:val="19DEC5B0"/>
    <w:lvl w:ilvl="0" w:tplc="D00CDC00">
      <w:start w:val="1"/>
      <w:numFmt w:val="hebrew1"/>
      <w:lvlRestart w:val="0"/>
      <w:lvlText w:val="(%1)"/>
      <w:lvlJc w:val="left"/>
      <w:pPr>
        <w:tabs>
          <w:tab w:val="num" w:pos="984"/>
        </w:tabs>
        <w:ind w:left="360" w:firstLine="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715E42"/>
    <w:multiLevelType w:val="hybridMultilevel"/>
    <w:tmpl w:val="5D4A7C8E"/>
    <w:lvl w:ilvl="0" w:tplc="500C666A">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83256"/>
    <w:multiLevelType w:val="hybridMultilevel"/>
    <w:tmpl w:val="8676D356"/>
    <w:lvl w:ilvl="0" w:tplc="BC92AE7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32A43"/>
    <w:multiLevelType w:val="hybridMultilevel"/>
    <w:tmpl w:val="C2E2F662"/>
    <w:lvl w:ilvl="0" w:tplc="4E708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26D5F"/>
    <w:multiLevelType w:val="hybridMultilevel"/>
    <w:tmpl w:val="63E25204"/>
    <w:lvl w:ilvl="0" w:tplc="A058E9F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74DF7"/>
    <w:multiLevelType w:val="hybridMultilevel"/>
    <w:tmpl w:val="6D8AEA86"/>
    <w:lvl w:ilvl="0" w:tplc="384C144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971BE"/>
    <w:multiLevelType w:val="hybridMultilevel"/>
    <w:tmpl w:val="AD98217A"/>
    <w:lvl w:ilvl="0" w:tplc="C67E475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9566B"/>
    <w:multiLevelType w:val="hybridMultilevel"/>
    <w:tmpl w:val="93D4B8C0"/>
    <w:lvl w:ilvl="0" w:tplc="F7867C06">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D04CB"/>
    <w:multiLevelType w:val="hybridMultilevel"/>
    <w:tmpl w:val="02D2969A"/>
    <w:lvl w:ilvl="0" w:tplc="3B80127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9"/>
  </w:num>
  <w:num w:numId="5">
    <w:abstractNumId w:val="6"/>
  </w:num>
  <w:num w:numId="6">
    <w:abstractNumId w:val="5"/>
  </w:num>
  <w:num w:numId="7">
    <w:abstractNumId w:val="0"/>
  </w:num>
  <w:num w:numId="8">
    <w:abstractNumId w:val="8"/>
  </w:num>
  <w:num w:numId="9">
    <w:abstractNumId w:val="7"/>
  </w:num>
  <w:num w:numId="10">
    <w:abstractNumId w:val="2"/>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DF"/>
    <w:rsid w:val="00001026"/>
    <w:rsid w:val="00001778"/>
    <w:rsid w:val="000018BC"/>
    <w:rsid w:val="00011BA0"/>
    <w:rsid w:val="00011C4D"/>
    <w:rsid w:val="00024458"/>
    <w:rsid w:val="00031DBB"/>
    <w:rsid w:val="0003252C"/>
    <w:rsid w:val="00043CE4"/>
    <w:rsid w:val="00080B43"/>
    <w:rsid w:val="00084A3D"/>
    <w:rsid w:val="000919BE"/>
    <w:rsid w:val="000A2DBB"/>
    <w:rsid w:val="000B7B87"/>
    <w:rsid w:val="000D3CAA"/>
    <w:rsid w:val="000E2AF8"/>
    <w:rsid w:val="000F6166"/>
    <w:rsid w:val="00137CF2"/>
    <w:rsid w:val="00142D93"/>
    <w:rsid w:val="00147CAE"/>
    <w:rsid w:val="00157888"/>
    <w:rsid w:val="00161837"/>
    <w:rsid w:val="00162B97"/>
    <w:rsid w:val="001753B1"/>
    <w:rsid w:val="00191F90"/>
    <w:rsid w:val="00194F6C"/>
    <w:rsid w:val="001A0D34"/>
    <w:rsid w:val="001A3600"/>
    <w:rsid w:val="001B1478"/>
    <w:rsid w:val="001B27E1"/>
    <w:rsid w:val="001B320D"/>
    <w:rsid w:val="001B7CE6"/>
    <w:rsid w:val="001D7024"/>
    <w:rsid w:val="001D70F3"/>
    <w:rsid w:val="001E73F2"/>
    <w:rsid w:val="001E7C1D"/>
    <w:rsid w:val="00200906"/>
    <w:rsid w:val="00210B35"/>
    <w:rsid w:val="002338B7"/>
    <w:rsid w:val="002345C9"/>
    <w:rsid w:val="002374D5"/>
    <w:rsid w:val="002431A3"/>
    <w:rsid w:val="00253112"/>
    <w:rsid w:val="00256C6A"/>
    <w:rsid w:val="00272F9C"/>
    <w:rsid w:val="002733EB"/>
    <w:rsid w:val="002778AD"/>
    <w:rsid w:val="002A4653"/>
    <w:rsid w:val="002C18C4"/>
    <w:rsid w:val="002D1C18"/>
    <w:rsid w:val="002D445F"/>
    <w:rsid w:val="002E25E5"/>
    <w:rsid w:val="002E32F0"/>
    <w:rsid w:val="002F7597"/>
    <w:rsid w:val="00300B11"/>
    <w:rsid w:val="00302139"/>
    <w:rsid w:val="00313568"/>
    <w:rsid w:val="0031416A"/>
    <w:rsid w:val="003179ED"/>
    <w:rsid w:val="00322336"/>
    <w:rsid w:val="00324EB1"/>
    <w:rsid w:val="00333A6A"/>
    <w:rsid w:val="00334626"/>
    <w:rsid w:val="00334F11"/>
    <w:rsid w:val="00346EBA"/>
    <w:rsid w:val="00352C2C"/>
    <w:rsid w:val="00364E43"/>
    <w:rsid w:val="00372B59"/>
    <w:rsid w:val="00373BD5"/>
    <w:rsid w:val="00374C5B"/>
    <w:rsid w:val="00387BB1"/>
    <w:rsid w:val="0039143F"/>
    <w:rsid w:val="00395D16"/>
    <w:rsid w:val="003A663D"/>
    <w:rsid w:val="003B2ECB"/>
    <w:rsid w:val="003B784A"/>
    <w:rsid w:val="003C40FC"/>
    <w:rsid w:val="003C6FAF"/>
    <w:rsid w:val="003D2471"/>
    <w:rsid w:val="003D49CD"/>
    <w:rsid w:val="003D7679"/>
    <w:rsid w:val="00405752"/>
    <w:rsid w:val="0040587D"/>
    <w:rsid w:val="004278FF"/>
    <w:rsid w:val="00430799"/>
    <w:rsid w:val="004473E4"/>
    <w:rsid w:val="004478AF"/>
    <w:rsid w:val="00460983"/>
    <w:rsid w:val="00473196"/>
    <w:rsid w:val="00474A1A"/>
    <w:rsid w:val="0049107E"/>
    <w:rsid w:val="00492E37"/>
    <w:rsid w:val="004A2020"/>
    <w:rsid w:val="004A6C4D"/>
    <w:rsid w:val="004A7E1E"/>
    <w:rsid w:val="004B0B0B"/>
    <w:rsid w:val="004C6AE5"/>
    <w:rsid w:val="0050052F"/>
    <w:rsid w:val="00501A87"/>
    <w:rsid w:val="00504784"/>
    <w:rsid w:val="005123B1"/>
    <w:rsid w:val="0052099B"/>
    <w:rsid w:val="00523C92"/>
    <w:rsid w:val="005275E5"/>
    <w:rsid w:val="005625F4"/>
    <w:rsid w:val="00567FB2"/>
    <w:rsid w:val="00572C04"/>
    <w:rsid w:val="005771C4"/>
    <w:rsid w:val="00583337"/>
    <w:rsid w:val="005B263C"/>
    <w:rsid w:val="005C7BC5"/>
    <w:rsid w:val="005D51AE"/>
    <w:rsid w:val="005E2B24"/>
    <w:rsid w:val="005F181C"/>
    <w:rsid w:val="005F63FC"/>
    <w:rsid w:val="00600873"/>
    <w:rsid w:val="006054D9"/>
    <w:rsid w:val="0060685C"/>
    <w:rsid w:val="00607770"/>
    <w:rsid w:val="00607881"/>
    <w:rsid w:val="00622152"/>
    <w:rsid w:val="0062551F"/>
    <w:rsid w:val="00626E1B"/>
    <w:rsid w:val="006339A6"/>
    <w:rsid w:val="00642B34"/>
    <w:rsid w:val="00643333"/>
    <w:rsid w:val="00644940"/>
    <w:rsid w:val="00646C46"/>
    <w:rsid w:val="00650C02"/>
    <w:rsid w:val="006515AF"/>
    <w:rsid w:val="0065338F"/>
    <w:rsid w:val="00660C42"/>
    <w:rsid w:val="00662D9D"/>
    <w:rsid w:val="00664854"/>
    <w:rsid w:val="00674761"/>
    <w:rsid w:val="00674E62"/>
    <w:rsid w:val="006A3DB5"/>
    <w:rsid w:val="006A73E4"/>
    <w:rsid w:val="006B6F30"/>
    <w:rsid w:val="006C5C0E"/>
    <w:rsid w:val="006C6B37"/>
    <w:rsid w:val="006C74B3"/>
    <w:rsid w:val="006D2D06"/>
    <w:rsid w:val="006D485D"/>
    <w:rsid w:val="006E2E9E"/>
    <w:rsid w:val="006E3FFD"/>
    <w:rsid w:val="00704877"/>
    <w:rsid w:val="007053C1"/>
    <w:rsid w:val="00714603"/>
    <w:rsid w:val="00716701"/>
    <w:rsid w:val="00725D36"/>
    <w:rsid w:val="00727825"/>
    <w:rsid w:val="00731E59"/>
    <w:rsid w:val="007408DF"/>
    <w:rsid w:val="007651DC"/>
    <w:rsid w:val="00766065"/>
    <w:rsid w:val="0077246A"/>
    <w:rsid w:val="00776551"/>
    <w:rsid w:val="00781C4C"/>
    <w:rsid w:val="0078279D"/>
    <w:rsid w:val="00786188"/>
    <w:rsid w:val="007906D4"/>
    <w:rsid w:val="00796EA5"/>
    <w:rsid w:val="007A2FB8"/>
    <w:rsid w:val="007A5EA1"/>
    <w:rsid w:val="007A7870"/>
    <w:rsid w:val="007B1C96"/>
    <w:rsid w:val="007B58F1"/>
    <w:rsid w:val="007C0140"/>
    <w:rsid w:val="007E4C12"/>
    <w:rsid w:val="007F048B"/>
    <w:rsid w:val="007F0670"/>
    <w:rsid w:val="007F0C40"/>
    <w:rsid w:val="007F172B"/>
    <w:rsid w:val="007F3179"/>
    <w:rsid w:val="00802C49"/>
    <w:rsid w:val="008042F1"/>
    <w:rsid w:val="008060B0"/>
    <w:rsid w:val="00807C7E"/>
    <w:rsid w:val="00812C98"/>
    <w:rsid w:val="00816CB3"/>
    <w:rsid w:val="00830F64"/>
    <w:rsid w:val="00837963"/>
    <w:rsid w:val="008409AA"/>
    <w:rsid w:val="00850601"/>
    <w:rsid w:val="008518EC"/>
    <w:rsid w:val="008674BA"/>
    <w:rsid w:val="008815D0"/>
    <w:rsid w:val="00892A7D"/>
    <w:rsid w:val="00895B21"/>
    <w:rsid w:val="008B2B37"/>
    <w:rsid w:val="008B56A1"/>
    <w:rsid w:val="008D4643"/>
    <w:rsid w:val="008F127C"/>
    <w:rsid w:val="008F21A4"/>
    <w:rsid w:val="008F730C"/>
    <w:rsid w:val="00902BAE"/>
    <w:rsid w:val="00923474"/>
    <w:rsid w:val="0093030A"/>
    <w:rsid w:val="009355EE"/>
    <w:rsid w:val="00940162"/>
    <w:rsid w:val="00966955"/>
    <w:rsid w:val="00974123"/>
    <w:rsid w:val="00975E3B"/>
    <w:rsid w:val="009776F5"/>
    <w:rsid w:val="009963F6"/>
    <w:rsid w:val="009D6D82"/>
    <w:rsid w:val="009F0E9D"/>
    <w:rsid w:val="009F1C3B"/>
    <w:rsid w:val="009F32FE"/>
    <w:rsid w:val="00A3000E"/>
    <w:rsid w:val="00A3374B"/>
    <w:rsid w:val="00A4528E"/>
    <w:rsid w:val="00A45D6D"/>
    <w:rsid w:val="00A5206E"/>
    <w:rsid w:val="00A573F2"/>
    <w:rsid w:val="00A609D5"/>
    <w:rsid w:val="00A6641C"/>
    <w:rsid w:val="00A745B4"/>
    <w:rsid w:val="00A8154C"/>
    <w:rsid w:val="00A81D7C"/>
    <w:rsid w:val="00A90B31"/>
    <w:rsid w:val="00AA004F"/>
    <w:rsid w:val="00AA1CC0"/>
    <w:rsid w:val="00AA2401"/>
    <w:rsid w:val="00AB1FD3"/>
    <w:rsid w:val="00AB5D4D"/>
    <w:rsid w:val="00AB7CF4"/>
    <w:rsid w:val="00AC1E27"/>
    <w:rsid w:val="00AD444B"/>
    <w:rsid w:val="00AE40B0"/>
    <w:rsid w:val="00AF6C74"/>
    <w:rsid w:val="00B02836"/>
    <w:rsid w:val="00B17290"/>
    <w:rsid w:val="00B2007C"/>
    <w:rsid w:val="00B21E39"/>
    <w:rsid w:val="00B2218C"/>
    <w:rsid w:val="00B24577"/>
    <w:rsid w:val="00B350EA"/>
    <w:rsid w:val="00B473BA"/>
    <w:rsid w:val="00B50517"/>
    <w:rsid w:val="00B50FD7"/>
    <w:rsid w:val="00B7157A"/>
    <w:rsid w:val="00B715DA"/>
    <w:rsid w:val="00B859E4"/>
    <w:rsid w:val="00B969EC"/>
    <w:rsid w:val="00BA43DB"/>
    <w:rsid w:val="00BB1D40"/>
    <w:rsid w:val="00BE5292"/>
    <w:rsid w:val="00C13CAE"/>
    <w:rsid w:val="00C26F0F"/>
    <w:rsid w:val="00C51E70"/>
    <w:rsid w:val="00C5295C"/>
    <w:rsid w:val="00C54928"/>
    <w:rsid w:val="00C645D5"/>
    <w:rsid w:val="00C6574F"/>
    <w:rsid w:val="00C66A55"/>
    <w:rsid w:val="00C75F52"/>
    <w:rsid w:val="00C820F1"/>
    <w:rsid w:val="00C95F37"/>
    <w:rsid w:val="00CB4C0A"/>
    <w:rsid w:val="00CC2FCD"/>
    <w:rsid w:val="00CC35D0"/>
    <w:rsid w:val="00CC6BEB"/>
    <w:rsid w:val="00CD0662"/>
    <w:rsid w:val="00CE2900"/>
    <w:rsid w:val="00CF5BDF"/>
    <w:rsid w:val="00CF64E7"/>
    <w:rsid w:val="00CF7619"/>
    <w:rsid w:val="00D04853"/>
    <w:rsid w:val="00D138A8"/>
    <w:rsid w:val="00D2043B"/>
    <w:rsid w:val="00D30735"/>
    <w:rsid w:val="00D35FF0"/>
    <w:rsid w:val="00D50C9F"/>
    <w:rsid w:val="00D52873"/>
    <w:rsid w:val="00D70C27"/>
    <w:rsid w:val="00D7132A"/>
    <w:rsid w:val="00D7664D"/>
    <w:rsid w:val="00D86C53"/>
    <w:rsid w:val="00D96AA3"/>
    <w:rsid w:val="00DA6FB0"/>
    <w:rsid w:val="00DB018F"/>
    <w:rsid w:val="00DB53A2"/>
    <w:rsid w:val="00DE2CFD"/>
    <w:rsid w:val="00DE7427"/>
    <w:rsid w:val="00DF3A60"/>
    <w:rsid w:val="00DF6AF7"/>
    <w:rsid w:val="00E11517"/>
    <w:rsid w:val="00E12FD8"/>
    <w:rsid w:val="00E1690D"/>
    <w:rsid w:val="00E23AE2"/>
    <w:rsid w:val="00E315C3"/>
    <w:rsid w:val="00E3570A"/>
    <w:rsid w:val="00E40AC0"/>
    <w:rsid w:val="00E659C5"/>
    <w:rsid w:val="00E7024C"/>
    <w:rsid w:val="00E86641"/>
    <w:rsid w:val="00E876E5"/>
    <w:rsid w:val="00EB765D"/>
    <w:rsid w:val="00EB79A2"/>
    <w:rsid w:val="00EC4FBD"/>
    <w:rsid w:val="00ED3396"/>
    <w:rsid w:val="00ED7345"/>
    <w:rsid w:val="00EE6684"/>
    <w:rsid w:val="00EF4B60"/>
    <w:rsid w:val="00F00DF4"/>
    <w:rsid w:val="00F10FBB"/>
    <w:rsid w:val="00F1195B"/>
    <w:rsid w:val="00F121C1"/>
    <w:rsid w:val="00F14CFB"/>
    <w:rsid w:val="00F314EB"/>
    <w:rsid w:val="00F4660F"/>
    <w:rsid w:val="00F46EA0"/>
    <w:rsid w:val="00F47D77"/>
    <w:rsid w:val="00F63DD9"/>
    <w:rsid w:val="00F66533"/>
    <w:rsid w:val="00F6741B"/>
    <w:rsid w:val="00F71CC1"/>
    <w:rsid w:val="00F74C40"/>
    <w:rsid w:val="00F8027C"/>
    <w:rsid w:val="00F87CE4"/>
    <w:rsid w:val="00F9596F"/>
    <w:rsid w:val="00FA1CBB"/>
    <w:rsid w:val="00FA7650"/>
    <w:rsid w:val="00FB5BD8"/>
    <w:rsid w:val="00FB76CD"/>
    <w:rsid w:val="00FC0222"/>
    <w:rsid w:val="00FC181D"/>
    <w:rsid w:val="00FC318A"/>
    <w:rsid w:val="00FD51C3"/>
    <w:rsid w:val="00FD760F"/>
    <w:rsid w:val="00FE05C1"/>
    <w:rsid w:val="00FE0B4B"/>
    <w:rsid w:val="00FE51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81AC3E-522F-4B36-832B-F12E1583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paragraphstyle"/>
    <w:pPr>
      <w:tabs>
        <w:tab w:val="left" w:pos="1191"/>
        <w:tab w:val="left" w:pos="1587"/>
      </w:tabs>
      <w:spacing w:before="240" w:after="240" w:line="480" w:lineRule="auto"/>
      <w:jc w:val="center"/>
    </w:pPr>
  </w:style>
  <w:style w:type="paragraph" w:customStyle="1" w:styleId="Cover2-HatzaotHok">
    <w:name w:val="Cover 2-HatzaotHok"/>
    <w:basedOn w:val="Cover1-Reshumot"/>
    <w:rPr>
      <w:sz w:val="36"/>
      <w:szCs w:val="52"/>
    </w:rPr>
  </w:style>
  <w:style w:type="paragraph" w:customStyle="1" w:styleId="Cover3-Haknesset">
    <w:name w:val="Cover 3-Haknesset"/>
    <w:basedOn w:val="Cover1-Reshumot"/>
    <w:rPr>
      <w:b/>
      <w:bCs/>
      <w:spacing w:val="60"/>
    </w:rPr>
  </w:style>
  <w:style w:type="paragraph" w:customStyle="1" w:styleId="Cover4-Date">
    <w:name w:val="Cover 4-Date"/>
    <w:basedOn w:val="Noparagraphstyle"/>
    <w:pPr>
      <w:pBdr>
        <w:bottom w:val="single" w:sz="4" w:space="0" w:color="auto"/>
      </w:pBdr>
      <w:tabs>
        <w:tab w:val="center" w:pos="4820"/>
        <w:tab w:val="right" w:pos="9639"/>
      </w:tabs>
      <w:spacing w:before="240" w:after="240"/>
    </w:pPr>
  </w:style>
  <w:style w:type="paragraph" w:customStyle="1" w:styleId="TOC">
    <w:name w:val="TOC"/>
    <w:basedOn w:val="Noparagraphstyle"/>
    <w:pPr>
      <w:tabs>
        <w:tab w:val="left" w:leader="dot" w:pos="8789"/>
      </w:tabs>
      <w:spacing w:before="120"/>
      <w:ind w:left="284" w:right="284"/>
    </w:pPr>
  </w:style>
  <w:style w:type="paragraph" w:customStyle="1" w:styleId="TOCpg">
    <w:name w:val="TOC pg"/>
    <w:basedOn w:val="TOC"/>
    <w:pPr>
      <w:spacing w:after="120"/>
      <w:ind w:right="567"/>
      <w:jc w:val="right"/>
    </w:pPr>
  </w:style>
  <w:style w:type="paragraph" w:customStyle="1" w:styleId="HeadMitparsemetBaze">
    <w:name w:val="Head MitparsemetBaze"/>
    <w:basedOn w:val="Noparagraphstyle"/>
    <w:pPr>
      <w:keepNext/>
      <w:keepLines/>
      <w:pageBreakBefore/>
      <w:spacing w:before="480"/>
      <w:jc w:val="both"/>
    </w:pPr>
    <w:rPr>
      <w:b/>
      <w:bCs/>
    </w:rPr>
  </w:style>
  <w:style w:type="paragraph" w:customStyle="1" w:styleId="HeadHatzaotHok">
    <w:name w:val="Head HatzaotHok"/>
    <w:basedOn w:val="Noparagraphstyle"/>
    <w:pPr>
      <w:keepNext/>
      <w:keepLines/>
      <w:spacing w:before="240"/>
      <w:jc w:val="center"/>
    </w:pPr>
    <w:rPr>
      <w:b/>
      <w:bCs/>
    </w:rPr>
  </w:style>
  <w:style w:type="paragraph" w:customStyle="1" w:styleId="HeadHatzaotHok4Futer">
    <w:name w:val="Head HatzaotHok4Futer"/>
    <w:basedOn w:val="HeadHatzaotHok"/>
    <w:pPr>
      <w:spacing w:before="120" w:after="120"/>
    </w:pPr>
    <w:rPr>
      <w:color w:val="FF0000"/>
      <w:w w:val="80"/>
    </w:rPr>
  </w:style>
  <w:style w:type="paragraph" w:styleId="a3">
    <w:name w:val="endnote text"/>
    <w:basedOn w:val="Ragil"/>
    <w:semiHidden/>
    <w:pPr>
      <w:ind w:left="227" w:hanging="227"/>
    </w:pPr>
    <w:rPr>
      <w:sz w:val="14"/>
      <w:szCs w:val="22"/>
    </w:rPr>
  </w:style>
  <w:style w:type="paragraph" w:customStyle="1" w:styleId="TableText">
    <w:name w:val="Table Text"/>
    <w:basedOn w:val="Ragil"/>
    <w:pPr>
      <w:keepLines/>
      <w:tabs>
        <w:tab w:val="left" w:pos="624"/>
        <w:tab w:val="left" w:pos="1247"/>
      </w:tabs>
      <w:ind w:right="57" w:firstLine="0"/>
    </w:pPr>
  </w:style>
  <w:style w:type="paragraph" w:customStyle="1" w:styleId="TableSideHeading">
    <w:name w:val="Table SideHeading"/>
    <w:basedOn w:val="TableText"/>
  </w:style>
  <w:style w:type="paragraph" w:customStyle="1" w:styleId="TableBlock">
    <w:name w:val="Table Block"/>
    <w:basedOn w:val="TableText"/>
    <w:pPr>
      <w:ind w:right="0"/>
      <w:jc w:val="both"/>
    </w:pPr>
  </w:style>
  <w:style w:type="paragraph" w:customStyle="1" w:styleId="TableHead">
    <w:name w:val="Table Head"/>
    <w:basedOn w:val="TableText"/>
    <w:pPr>
      <w:ind w:right="0"/>
      <w:jc w:val="center"/>
    </w:pPr>
    <w:rPr>
      <w:b/>
      <w:bCs/>
    </w:rPr>
  </w:style>
  <w:style w:type="paragraph" w:customStyle="1" w:styleId="TableText2">
    <w:name w:val="Table Text2"/>
    <w:basedOn w:val="TableText"/>
  </w:style>
  <w:style w:type="paragraph" w:customStyle="1" w:styleId="TableInnerSideHeading">
    <w:name w:val="Table InnerSideHeading"/>
    <w:basedOn w:val="TableSideHeading"/>
  </w:style>
  <w:style w:type="paragraph" w:customStyle="1" w:styleId="Hesber">
    <w:name w:val="Hesber"/>
    <w:basedOn w:val="Ragil"/>
    <w:pPr>
      <w:jc w:val="both"/>
    </w:pPr>
  </w:style>
  <w:style w:type="paragraph" w:styleId="a4">
    <w:name w:val="footnote text"/>
    <w:basedOn w:val="Ragil"/>
    <w:autoRedefine/>
    <w:semiHidden/>
    <w:rsid w:val="00644940"/>
    <w:pPr>
      <w:spacing w:line="240" w:lineRule="auto"/>
      <w:ind w:left="227" w:hanging="227"/>
    </w:pPr>
    <w:rPr>
      <w:sz w:val="14"/>
      <w:szCs w:val="20"/>
    </w:rPr>
  </w:style>
  <w:style w:type="character" w:styleId="a5">
    <w:name w:val="footnote reference"/>
    <w:basedOn w:val="a0"/>
    <w:semiHidden/>
    <w:rPr>
      <w:vertAlign w:val="superscript"/>
    </w:rPr>
  </w:style>
  <w:style w:type="paragraph" w:customStyle="1" w:styleId="HesberHeading">
    <w:name w:val="Hesber Heading"/>
    <w:basedOn w:val="Hesber"/>
    <w:pPr>
      <w:keepNext/>
      <w:keepLines/>
      <w:spacing w:before="240"/>
      <w:ind w:firstLine="0"/>
    </w:pPr>
    <w:rPr>
      <w:b/>
      <w:bCs/>
    </w:rPr>
  </w:style>
  <w:style w:type="paragraph" w:customStyle="1" w:styleId="HesberWriters">
    <w:name w:val="Hesber Writers"/>
    <w:basedOn w:val="Hesber"/>
    <w:pPr>
      <w:spacing w:before="120" w:after="6000"/>
      <w:ind w:left="1418" w:firstLine="0"/>
      <w:jc w:val="right"/>
    </w:pPr>
    <w:rPr>
      <w:b/>
      <w:bCs/>
    </w:rPr>
  </w:style>
  <w:style w:type="paragraph" w:customStyle="1" w:styleId="Hesber1st">
    <w:name w:val="Hesber 1st"/>
    <w:basedOn w:val="Hesber"/>
    <w:pPr>
      <w:tabs>
        <w:tab w:val="left" w:pos="680"/>
        <w:tab w:val="left" w:pos="1020"/>
      </w:tabs>
      <w:ind w:firstLine="0"/>
    </w:pPr>
  </w:style>
  <w:style w:type="character" w:styleId="a6">
    <w:name w:val="endnote reference"/>
    <w:basedOn w:val="a0"/>
    <w:semiHidden/>
    <w:rPr>
      <w:vertAlign w:val="superscript"/>
    </w:rPr>
  </w:style>
  <w:style w:type="paragraph" w:customStyle="1" w:styleId="TableBlockOutdent">
    <w:name w:val="Table BlockOutdent"/>
    <w:basedOn w:val="TableBlock"/>
    <w:rsid w:val="0003252C"/>
    <w:pPr>
      <w:ind w:left="624" w:hanging="624"/>
    </w:p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paragraph" w:customStyle="1" w:styleId="HeadDivreiHesber">
    <w:name w:val="Head DivreiHesber"/>
    <w:basedOn w:val="Ragil"/>
    <w:pPr>
      <w:spacing w:before="360" w:after="120"/>
      <w:ind w:firstLine="0"/>
      <w:jc w:val="center"/>
    </w:pPr>
    <w:rPr>
      <w:b/>
      <w:spacing w:val="40"/>
    </w:rPr>
  </w:style>
  <w:style w:type="paragraph" w:customStyle="1" w:styleId="Ragil">
    <w:name w:val="Ragil"/>
    <w:basedOn w:val="Noparagraphstyle"/>
    <w:pPr>
      <w:ind w:firstLine="340"/>
    </w:pPr>
  </w:style>
  <w:style w:type="character" w:styleId="a9">
    <w:name w:val="page number"/>
    <w:basedOn w:val="a0"/>
    <w:rsid w:val="00CF5BDF"/>
  </w:style>
  <w:style w:type="character" w:customStyle="1" w:styleId="default">
    <w:name w:val="default"/>
    <w:basedOn w:val="a0"/>
    <w:rsid w:val="00AC1E27"/>
  </w:style>
  <w:style w:type="character" w:styleId="aa">
    <w:name w:val="annotation reference"/>
    <w:basedOn w:val="a0"/>
    <w:uiPriority w:val="99"/>
    <w:semiHidden/>
    <w:unhideWhenUsed/>
    <w:rsid w:val="000B7B87"/>
    <w:rPr>
      <w:sz w:val="16"/>
      <w:szCs w:val="16"/>
    </w:rPr>
  </w:style>
  <w:style w:type="paragraph" w:styleId="ab">
    <w:name w:val="annotation text"/>
    <w:basedOn w:val="a"/>
    <w:link w:val="ac"/>
    <w:uiPriority w:val="99"/>
    <w:semiHidden/>
    <w:unhideWhenUsed/>
    <w:rsid w:val="000B7B87"/>
    <w:pPr>
      <w:spacing w:line="240" w:lineRule="auto"/>
    </w:pPr>
    <w:rPr>
      <w:sz w:val="20"/>
      <w:szCs w:val="20"/>
    </w:rPr>
  </w:style>
  <w:style w:type="character" w:customStyle="1" w:styleId="ac">
    <w:name w:val="טקסט הערה תו"/>
    <w:basedOn w:val="a0"/>
    <w:link w:val="ab"/>
    <w:uiPriority w:val="99"/>
    <w:semiHidden/>
    <w:rsid w:val="000B7B87"/>
    <w:rPr>
      <w:rFonts w:ascii="Hadasa Roso SL" w:hAnsi="Hadasa Roso SL" w:cs="Hadasa Roso SL"/>
      <w:color w:val="000000"/>
      <w:spacing w:val="1"/>
      <w:lang w:eastAsia="ja-JP"/>
    </w:rPr>
  </w:style>
  <w:style w:type="paragraph" w:styleId="ad">
    <w:name w:val="Balloon Text"/>
    <w:basedOn w:val="a"/>
    <w:link w:val="ae"/>
    <w:semiHidden/>
    <w:unhideWhenUsed/>
    <w:rsid w:val="000B7B87"/>
    <w:pPr>
      <w:spacing w:before="0" w:line="240" w:lineRule="auto"/>
    </w:pPr>
    <w:rPr>
      <w:rFonts w:ascii="Tahoma" w:hAnsi="Tahoma" w:cs="Tahoma"/>
      <w:sz w:val="18"/>
      <w:szCs w:val="18"/>
    </w:rPr>
  </w:style>
  <w:style w:type="character" w:customStyle="1" w:styleId="ae">
    <w:name w:val="טקסט בלונים תו"/>
    <w:basedOn w:val="a0"/>
    <w:link w:val="ad"/>
    <w:semiHidden/>
    <w:rsid w:val="000B7B87"/>
    <w:rPr>
      <w:rFonts w:ascii="Tahoma" w:hAnsi="Tahoma" w:cs="Tahoma"/>
      <w:color w:val="000000"/>
      <w:spacing w:val="1"/>
      <w:sz w:val="18"/>
      <w:szCs w:val="18"/>
      <w:lang w:eastAsia="ja-JP"/>
    </w:rPr>
  </w:style>
  <w:style w:type="paragraph" w:styleId="af">
    <w:name w:val="List Paragraph"/>
    <w:basedOn w:val="a"/>
    <w:uiPriority w:val="34"/>
    <w:qFormat/>
    <w:rsid w:val="00D71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Number xmlns="d2589617-2f74-4077-aee7-f516ed639388">43733</Ref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B7A0-2006-4DAE-9BB7-4A661752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AF321B-C491-48AF-9138-47B98879831A}">
  <ds:schemaRefs>
    <ds:schemaRef ds:uri="http://schemas.microsoft.com/sharepoint/v3/contenttype/forms"/>
  </ds:schemaRefs>
</ds:datastoreItem>
</file>

<file path=customXml/itemProps3.xml><?xml version="1.0" encoding="utf-8"?>
<ds:datastoreItem xmlns:ds="http://schemas.openxmlformats.org/officeDocument/2006/customXml" ds:itemID="{32667B90-063F-43E8-A9DB-1B852B8155BB}">
  <ds:schemaRefs>
    <ds:schemaRef ds:uri="http://schemas.microsoft.com/office/2006/metadata/properties"/>
    <ds:schemaRef ds:uri="d2589617-2f74-4077-aee7-f516ed639388"/>
  </ds:schemaRefs>
</ds:datastoreItem>
</file>

<file path=customXml/itemProps4.xml><?xml version="1.0" encoding="utf-8"?>
<ds:datastoreItem xmlns:ds="http://schemas.openxmlformats.org/officeDocument/2006/customXml" ds:itemID="{563EDAF2-0DFB-49D8-B0FA-03BACA7C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8318</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להעלות אריאל 14.1.18.docx</vt:lpstr>
    </vt:vector>
  </TitlesOfParts>
  <Company>MOF</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להעלות אריאל 14.1.18.docx</dc:title>
  <dc:creator>xxkeren</dc:creator>
  <cp:lastModifiedBy>dalia</cp:lastModifiedBy>
  <cp:revision>2</cp:revision>
  <cp:lastPrinted>1899-12-31T22:00:00Z</cp:lastPrinted>
  <dcterms:created xsi:type="dcterms:W3CDTF">2018-01-15T08:19:00Z</dcterms:created>
  <dcterms:modified xsi:type="dcterms:W3CDTF">2018-01-15T08:19:00Z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notes://MAOR2/Doc/Mishpatit/MishDocNew2.nsf/0/3DE06ED09889AE3BC22582120032AB3A/?OpenDocument</vt:lpwstr>
  </property>
  <property fmtid="{D5CDD505-2E9C-101B-9397-08002B2CF9AE}" pid="3" name="MaorRecipients0">
    <vt:lpwstr>arielpe@mof.gov.il,efratpr@mof.gov.il</vt:lpwstr>
  </property>
  <property fmtid="{D5CDD505-2E9C-101B-9397-08002B2CF9AE}" pid="4" name="ContentTypeId">
    <vt:lpwstr>0x010100161B5BAE19C0A94ABF7F052772C71F14</vt:lpwstr>
  </property>
</Properties>
</file>